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5E46A" w14:textId="77777777" w:rsidR="00D72C78" w:rsidRDefault="00D72C78" w:rsidP="00990273">
      <w:pPr>
        <w:jc w:val="right"/>
      </w:pPr>
    </w:p>
    <w:p w14:paraId="74535FC0" w14:textId="77777777" w:rsidR="00D15786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r w:rsidR="00380165">
        <w:rPr>
          <w:rFonts w:ascii="Montserrat" w:hAnsi="Montserrat"/>
        </w:rPr>
        <w:fldChar w:fldCharType="begin"/>
      </w:r>
      <w:r w:rsidR="00F145A0" w:rsidRPr="00F145A0">
        <w:rPr>
          <w:rFonts w:ascii="Montserrat" w:hAnsi="Montserrat"/>
        </w:rPr>
        <w:instrText>DOCPROPERTY PWReference</w:instrText>
      </w:r>
      <w:r w:rsidR="00380165">
        <w:rPr>
          <w:rFonts w:ascii="Montserrat" w:hAnsi="Montserrat"/>
        </w:rPr>
        <w:fldChar w:fldCharType="separate"/>
      </w:r>
      <w:r w:rsidR="00D15786">
        <w:rPr>
          <w:rFonts w:ascii="Montserrat" w:hAnsi="Montserrat"/>
          <w:b/>
          <w:bCs/>
          <w:lang w:val="en-US"/>
        </w:rPr>
        <w:t>Error! Unknown document property name.</w:t>
      </w:r>
      <w:r w:rsidR="00380165">
        <w:rPr>
          <w:rFonts w:ascii="Montserrat" w:hAnsi="Montserrat"/>
        </w:rPr>
        <w:fldChar w:fldCharType="end"/>
      </w:r>
      <w:r w:rsidR="00135F43">
        <w:rPr>
          <w:rFonts w:ascii="Montserrat" w:hAnsi="Montserrat"/>
        </w:rPr>
        <w:tab/>
      </w:r>
    </w:p>
    <w:p w14:paraId="3858BBCE" w14:textId="6435859A" w:rsidR="000356F5" w:rsidRPr="000356F5" w:rsidRDefault="00135F43" w:rsidP="000356F5">
      <w:pPr>
        <w:spacing w:after="0"/>
        <w:rPr>
          <w:rFonts w:ascii="Montserrat" w:hAnsi="Montserrat"/>
        </w:rPr>
      </w:pP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</w:p>
    <w:p w14:paraId="3F29AD12" w14:textId="72348740" w:rsidR="00767438" w:rsidRPr="00D15786" w:rsidRDefault="00D15786" w:rsidP="000356F5">
      <w:pPr>
        <w:spacing w:after="0"/>
        <w:rPr>
          <w:lang w:val="en-US"/>
        </w:rPr>
      </w:pPr>
      <w:r>
        <w:rPr>
          <w:rStyle w:val="CCNormal"/>
          <w:lang w:val="en-US"/>
        </w:rPr>
        <w:t>31</w:t>
      </w:r>
      <w:r w:rsidR="000356F5" w:rsidRPr="00734E47">
        <w:rPr>
          <w:rStyle w:val="CCNormal"/>
        </w:rPr>
        <w:t>/0</w:t>
      </w:r>
      <w:r>
        <w:rPr>
          <w:rStyle w:val="CCNormal"/>
          <w:lang w:val="en-US"/>
        </w:rPr>
        <w:t>5</w:t>
      </w:r>
      <w:r w:rsidR="000356F5" w:rsidRPr="00734E47">
        <w:rPr>
          <w:rStyle w:val="CCNormal"/>
        </w:rPr>
        <w:t>/202</w:t>
      </w:r>
      <w:r>
        <w:rPr>
          <w:rStyle w:val="CCNormal"/>
          <w:lang w:val="en-US"/>
        </w:rPr>
        <w:t>3</w:t>
      </w:r>
    </w:p>
    <w:p w14:paraId="6E883DBB" w14:textId="77777777" w:rsidR="00D15786" w:rsidRDefault="00D15786" w:rsidP="00D15786">
      <w:pPr>
        <w:spacing w:after="120" w:line="240" w:lineRule="auto"/>
        <w:rPr>
          <w:rStyle w:val="ccdoctypeChar"/>
          <w:lang w:val="en-GB"/>
        </w:rPr>
      </w:pPr>
      <w:bookmarkStart w:id="0" w:name="_Hlk136424911"/>
    </w:p>
    <w:p w14:paraId="58C2F530" w14:textId="339F4C14" w:rsidR="00D15786" w:rsidRPr="00612835" w:rsidRDefault="00D15786" w:rsidP="00D15786">
      <w:pPr>
        <w:spacing w:after="120" w:line="240" w:lineRule="auto"/>
        <w:rPr>
          <w:rFonts w:ascii="Montserrat" w:hAnsi="Montserrat"/>
          <w:b/>
          <w:bCs/>
          <w:color w:val="E28120"/>
          <w:sz w:val="36"/>
          <w:szCs w:val="36"/>
        </w:rPr>
      </w:pPr>
      <w:r>
        <w:rPr>
          <w:rStyle w:val="ccdoctypeChar"/>
          <w:lang w:val="en-GB"/>
        </w:rPr>
        <w:t xml:space="preserve">Key Conclusions </w:t>
      </w:r>
      <w:r>
        <w:rPr>
          <w:rStyle w:val="ccdoctypeChar"/>
          <w:lang w:val="en-GB"/>
        </w:rPr>
        <w:t xml:space="preserve">(by Copa and </w:t>
      </w:r>
      <w:proofErr w:type="spellStart"/>
      <w:r>
        <w:rPr>
          <w:rStyle w:val="ccdoctypeChar"/>
          <w:lang w:val="en-GB"/>
        </w:rPr>
        <w:t>Cogeca</w:t>
      </w:r>
      <w:proofErr w:type="spellEnd"/>
      <w:r>
        <w:rPr>
          <w:rStyle w:val="ccdoctypeChar"/>
          <w:lang w:val="en-GB"/>
        </w:rPr>
        <w:t>)</w:t>
      </w:r>
    </w:p>
    <w:p w14:paraId="4A450D07" w14:textId="77777777" w:rsidR="00D15786" w:rsidRPr="00D15786" w:rsidRDefault="00D15786" w:rsidP="00D15786">
      <w:pPr>
        <w:pStyle w:val="ccTitle0"/>
        <w:rPr>
          <w:rStyle w:val="ccheading1"/>
          <w:lang w:val="en-US"/>
        </w:rPr>
      </w:pPr>
      <w:bookmarkStart w:id="1" w:name="_Hlk136424916"/>
      <w:bookmarkEnd w:id="0"/>
      <w:r>
        <w:t>Assessment</w:t>
      </w:r>
      <w:r w:rsidRPr="00EA189B">
        <w:t xml:space="preserve"> of the impacts of phasing out cages in</w:t>
      </w:r>
      <w:r w:rsidRPr="00941A9D">
        <w:t xml:space="preserve"> </w:t>
      </w:r>
      <w:r>
        <w:t>the</w:t>
      </w:r>
      <w:r w:rsidRPr="00EA189B">
        <w:t xml:space="preserve"> EU pig and </w:t>
      </w:r>
      <w:r>
        <w:t>laying hen</w:t>
      </w:r>
      <w:r w:rsidRPr="00EA189B">
        <w:t xml:space="preserve"> sectors</w:t>
      </w:r>
      <w:bookmarkEnd w:id="1"/>
      <w:r w:rsidRPr="00612835">
        <w:t xml:space="preserve"> </w:t>
      </w:r>
    </w:p>
    <w:p w14:paraId="56119BA2" w14:textId="77777777" w:rsidR="00D15786" w:rsidRPr="00A15580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Style w:val="ccheading1"/>
          <w:lang w:val="en-US"/>
        </w:rPr>
      </w:pPr>
      <w:bookmarkStart w:id="2" w:name="_Hlk136424932"/>
      <w:r w:rsidRPr="00A15580">
        <w:rPr>
          <w:rStyle w:val="ccheading1"/>
          <w:lang w:val="en-US"/>
        </w:rPr>
        <w:t>Context and methodology</w:t>
      </w:r>
    </w:p>
    <w:bookmarkEnd w:id="2"/>
    <w:p w14:paraId="7C8C8ABC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</w:pPr>
      <w:r w:rsidRPr="006176F9">
        <w:rPr>
          <w:rFonts w:ascii="Montserrat" w:eastAsiaTheme="minorHAnsi" w:hAnsi="Montserrat" w:cstheme="minorBidi"/>
          <w:color w:val="58595B"/>
          <w:sz w:val="20"/>
          <w:szCs w:val="20"/>
        </w:rPr>
        <w:t>Fo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llowing the </w:t>
      </w:r>
      <w:hyperlink r:id="rId11" w:history="1">
        <w:r>
          <w:rPr>
            <w:rStyle w:val="Hyperlink"/>
            <w:rFonts w:ascii="Montserrat" w:eastAsiaTheme="minorHAnsi" w:hAnsi="Montserrat" w:cstheme="minorBidi"/>
            <w:sz w:val="20"/>
            <w:szCs w:val="20"/>
          </w:rPr>
          <w:t>C</w:t>
        </w:r>
        <w:r w:rsidRPr="00454AB7">
          <w:rPr>
            <w:rStyle w:val="Hyperlink"/>
            <w:rFonts w:ascii="Montserrat" w:eastAsiaTheme="minorHAnsi" w:hAnsi="Montserrat" w:cstheme="minorBidi"/>
            <w:sz w:val="20"/>
            <w:szCs w:val="20"/>
          </w:rPr>
          <w:t>ommunication</w:t>
        </w:r>
      </w:hyperlink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of the European Commission on the ECI “End the Cage Age” in June 2021,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Copa and </w:t>
      </w:r>
      <w:proofErr w:type="spellStart"/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Cogeca</w:t>
      </w:r>
      <w:proofErr w:type="spellEnd"/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commissioned an impact assessment</w:t>
      </w:r>
      <w:r w:rsidRPr="006176F9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from 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the Institute of Agricultural Economics Nonprofit </w:t>
      </w:r>
      <w:proofErr w:type="spellStart"/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Kft</w:t>
      </w:r>
      <w:proofErr w:type="spellEnd"/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. (AKI, Budapest, Hungary), the Foundation Science and Education for Agri-Food Sector (FNEA, Warsaw, Poland) and the European Centre for Agricultural, Regional and Environmental Policy Research (</w:t>
      </w:r>
      <w:proofErr w:type="spellStart"/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EuroCARE</w:t>
      </w:r>
      <w:proofErr w:type="spellEnd"/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GmbH, Bonn, Germany)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to better understand the socioeconomic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  <w:lang w:val="en-US"/>
        </w:rPr>
        <w:t xml:space="preserve"> and environmental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consequences of the ban of cages on the pig and lay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ing hen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sectors (meat and eggs) based on the elements reflected in the Commission’s Communication.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The impact assessment, drawing on extensive literature reviews, 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was conducted according to a two-pronged approach: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</w:p>
    <w:p w14:paraId="36B35C49" w14:textId="77777777" w:rsidR="00D15786" w:rsidRDefault="00D15786" w:rsidP="00D15786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</w:pP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(1)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  <w:lang w:val="en-US"/>
        </w:rPr>
        <w:t>farm-level analyses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based on farm-level surveys and expert consultations in selected EU Member States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, 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with an attempt to scale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up the results to sector </w:t>
      </w:r>
      <w:proofErr w:type="gramStart"/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levels;</w:t>
      </w:r>
      <w:proofErr w:type="gramEnd"/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</w:p>
    <w:p w14:paraId="19E83E74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ind w:left="720"/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</w:pP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(2)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  <w:lang w:val="en-US"/>
        </w:rPr>
        <w:t xml:space="preserve">sectoral analyses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  <w:lang w:val="en-US"/>
        </w:rPr>
        <w:t>conducted within individual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  <w:lang w:val="en-US"/>
        </w:rPr>
        <w:t xml:space="preserve"> EU Member States and for the EU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proofErr w:type="gramStart"/>
      <w:r w:rsidRPr="0061775C">
        <w:rPr>
          <w:rFonts w:ascii="Montserrat" w:eastAsiaTheme="minorHAnsi" w:hAnsi="Montserrat" w:cstheme="minorBidi"/>
          <w:b/>
          <w:bCs/>
          <w:color w:val="58595B"/>
          <w:sz w:val="20"/>
          <w:szCs w:val="20"/>
          <w:lang w:val="en-US"/>
        </w:rPr>
        <w:t>as a whole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with</w:t>
      </w:r>
      <w:proofErr w:type="gramEnd"/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the use of the Common Agricultural Policy Regional Impact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  <w:lang w:val="en-US"/>
        </w:rPr>
        <w:t>(CAPRI) model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. </w:t>
      </w:r>
    </w:p>
    <w:p w14:paraId="7DB0AB20" w14:textId="77777777" w:rsidR="00D15786" w:rsidRPr="005D481C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</w:pPr>
      <w:r w:rsidRPr="00391971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The CAPRI model was used to assess the impacts of the ban on farrowing crates for sows and enriched cages for </w:t>
      </w:r>
      <w:r w:rsidRPr="00A46FC2">
        <w:rPr>
          <w:rFonts w:ascii="Montserrat" w:eastAsiaTheme="minorHAnsi" w:hAnsi="Montserrat" w:cstheme="minorBidi"/>
          <w:color w:val="58595B"/>
          <w:sz w:val="20"/>
          <w:szCs w:val="20"/>
        </w:rPr>
        <w:t>lay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ing</w:t>
      </w:r>
      <w:r w:rsidRPr="00A46FC2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hens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hu-HU"/>
        </w:rPr>
        <w:t xml:space="preserve"> </w:t>
      </w:r>
      <w:r w:rsidRPr="00391971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on 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>supply balances and prices, producer incomes and selected macroeconomic and environmental indicators</w:t>
      </w:r>
      <w:r w:rsidRPr="005D481C">
        <w:rPr>
          <w:rFonts w:ascii="Montserrat" w:hAnsi="Montserrat"/>
          <w:b/>
          <w:bCs/>
          <w:color w:val="58595B"/>
          <w:sz w:val="20"/>
          <w:szCs w:val="20"/>
          <w:lang w:val="en-US"/>
        </w:rPr>
        <w:t xml:space="preserve"> in all EU27 regions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  <w:lang w:val="en-US"/>
        </w:rPr>
        <w:t xml:space="preserve"> (NUTS2 level)</w:t>
      </w:r>
      <w:r w:rsidRPr="005D481C">
        <w:rPr>
          <w:rFonts w:ascii="Montserrat" w:hAnsi="Montserrat"/>
          <w:b/>
          <w:bCs/>
          <w:color w:val="58595B"/>
          <w:sz w:val="20"/>
          <w:szCs w:val="20"/>
          <w:lang w:val="en-US"/>
        </w:rPr>
        <w:t>.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 </w:t>
      </w:r>
    </w:p>
    <w:p w14:paraId="7DA1D34C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Style w:val="ccbody0"/>
          <w:sz w:val="20"/>
          <w:szCs w:val="20"/>
        </w:rPr>
      </w:pPr>
      <w:r>
        <w:rPr>
          <w:rStyle w:val="ccbody0"/>
          <w:sz w:val="20"/>
          <w:szCs w:val="20"/>
        </w:rPr>
        <w:t xml:space="preserve">This model was used to compare three main scenarios for the transition: </w:t>
      </w:r>
    </w:p>
    <w:p w14:paraId="4434015F" w14:textId="77777777" w:rsidR="00D15786" w:rsidRPr="005D481C" w:rsidRDefault="00D15786" w:rsidP="00D1578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rStyle w:val="ccbody0"/>
          <w:b/>
          <w:bCs/>
          <w:sz w:val="20"/>
          <w:szCs w:val="20"/>
        </w:rPr>
      </w:pPr>
      <w:r w:rsidRPr="005D481C">
        <w:rPr>
          <w:rStyle w:val="ccbody0"/>
          <w:sz w:val="20"/>
          <w:szCs w:val="20"/>
        </w:rPr>
        <w:t>an immediate transition by 2025 (Scenario A)</w:t>
      </w:r>
    </w:p>
    <w:p w14:paraId="1A256F9B" w14:textId="77777777" w:rsidR="00D15786" w:rsidRDefault="00D15786" w:rsidP="00D1578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rStyle w:val="ccbody0"/>
          <w:b/>
          <w:bCs/>
          <w:sz w:val="20"/>
          <w:szCs w:val="20"/>
        </w:rPr>
      </w:pPr>
      <w:r w:rsidRPr="005D481C">
        <w:rPr>
          <w:rStyle w:val="ccbody0"/>
          <w:sz w:val="20"/>
          <w:szCs w:val="20"/>
        </w:rPr>
        <w:t>a transition by 2035 (Scenario B1 and B2)</w:t>
      </w:r>
    </w:p>
    <w:p w14:paraId="29375BD6" w14:textId="77777777" w:rsidR="00D15786" w:rsidRPr="005D481C" w:rsidRDefault="00D15786" w:rsidP="00D1578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rStyle w:val="ccbody0"/>
          <w:b/>
          <w:bCs/>
          <w:sz w:val="20"/>
          <w:szCs w:val="20"/>
        </w:rPr>
      </w:pPr>
      <w:r w:rsidRPr="005D481C">
        <w:rPr>
          <w:rStyle w:val="ccbody0"/>
          <w:sz w:val="20"/>
          <w:szCs w:val="20"/>
        </w:rPr>
        <w:t>a transition by 2045 (Scenario C1 and C2)</w:t>
      </w:r>
    </w:p>
    <w:p w14:paraId="4BCAE201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Style w:val="ccbody0"/>
          <w:sz w:val="20"/>
          <w:szCs w:val="20"/>
        </w:rPr>
      </w:pPr>
      <w:r w:rsidRPr="00ED531A">
        <w:rPr>
          <w:rStyle w:val="ccbody0"/>
          <w:sz w:val="20"/>
          <w:szCs w:val="20"/>
        </w:rPr>
        <w:t>As with any modelling, the results of this study need to be considered carefully, the key being to understand the broad trends and effects on a continental scale and further afield</w:t>
      </w:r>
      <w:r>
        <w:rPr>
          <w:rStyle w:val="ccbody0"/>
          <w:sz w:val="20"/>
          <w:szCs w:val="20"/>
        </w:rPr>
        <w:t xml:space="preserve"> while</w:t>
      </w:r>
      <w:r w:rsidRPr="00ED531A">
        <w:rPr>
          <w:rStyle w:val="ccbody0"/>
          <w:sz w:val="20"/>
          <w:szCs w:val="20"/>
        </w:rPr>
        <w:t xml:space="preserve"> conside</w:t>
      </w:r>
      <w:r>
        <w:rPr>
          <w:rStyle w:val="ccbody0"/>
          <w:sz w:val="20"/>
          <w:szCs w:val="20"/>
        </w:rPr>
        <w:t>ring</w:t>
      </w:r>
      <w:r w:rsidRPr="00ED531A">
        <w:rPr>
          <w:rStyle w:val="ccbody0"/>
          <w:sz w:val="20"/>
          <w:szCs w:val="20"/>
        </w:rPr>
        <w:t xml:space="preserve"> trade policy aspects.  </w:t>
      </w:r>
    </w:p>
    <w:p w14:paraId="414D2238" w14:textId="77777777" w:rsidR="00D15786" w:rsidRDefault="00D15786" w:rsidP="00D15786">
      <w:pPr>
        <w:pStyle w:val="NormalWeb"/>
        <w:shd w:val="clear" w:color="auto" w:fill="FFFFFF"/>
        <w:spacing w:before="240" w:beforeAutospacing="0" w:after="0" w:afterAutospacing="0"/>
        <w:rPr>
          <w:rStyle w:val="ccpolicyoptions"/>
        </w:rPr>
      </w:pPr>
      <w:r>
        <w:rPr>
          <w:rStyle w:val="ccpolicyoptions"/>
        </w:rPr>
        <w:t>Impact of the ban on farrowing crates on EU27 pig farm production</w:t>
      </w:r>
    </w:p>
    <w:p w14:paraId="4726A0B9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</w:p>
    <w:p w14:paraId="2FF0C601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Pig production will be the most impacted sector according to the study. </w:t>
      </w:r>
      <w:r w:rsidRPr="007A29F9">
        <w:rPr>
          <w:rFonts w:ascii="Montserrat" w:eastAsiaTheme="minorHAnsi" w:hAnsi="Montserrat" w:cstheme="minorBidi"/>
          <w:color w:val="58595B"/>
          <w:sz w:val="20"/>
          <w:szCs w:val="20"/>
        </w:rPr>
        <w:t>In all scenarios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, t</w:t>
      </w:r>
      <w:r w:rsidRPr="00CD6589">
        <w:rPr>
          <w:rFonts w:ascii="Montserrat" w:eastAsiaTheme="minorHAnsi" w:hAnsi="Montserrat" w:cstheme="minorBidi"/>
          <w:color w:val="58595B"/>
          <w:sz w:val="20"/>
          <w:szCs w:val="20"/>
        </w:rPr>
        <w:t>h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e 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>ban on farrowing crates would result in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>(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hu-HU"/>
        </w:rPr>
        <w:t>1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>)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 w:rsidRPr="00E90998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significant investment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,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(2) </w:t>
      </w:r>
      <w:r w:rsidRPr="00E90998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deteriorating </w:t>
      </w:r>
      <w:r w:rsidRPr="00E90998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lastRenderedPageBreak/>
        <w:t>production efficiency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>(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hu-HU"/>
        </w:rPr>
        <w:t>3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) </w:t>
      </w:r>
      <w:r w:rsidRPr="00A46FC2">
        <w:rPr>
          <w:rFonts w:ascii="Montserrat" w:eastAsiaTheme="minorHAnsi" w:hAnsi="Montserrat" w:cstheme="minorBidi"/>
          <w:color w:val="58595B"/>
          <w:sz w:val="20"/>
          <w:szCs w:val="20"/>
        </w:rPr>
        <w:t>and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,</w:t>
      </w:r>
      <w:r w:rsidRPr="00A46FC2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as the model results show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hu-HU"/>
        </w:rPr>
        <w:t xml:space="preserve">, 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a </w:t>
      </w:r>
      <w:r w:rsidRPr="00E90998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reduction in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the</w:t>
      </w:r>
      <w:r w:rsidRPr="00E90998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EU27 </w:t>
      </w:r>
      <w:r w:rsidRPr="00E90998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sow population and piglet production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. </w:t>
      </w:r>
    </w:p>
    <w:p w14:paraId="42E8E450" w14:textId="77777777" w:rsidR="00D15786" w:rsidRPr="005D481C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Production </w:t>
      </w:r>
      <w:r>
        <w:rPr>
          <w:rFonts w:ascii="Montserrat" w:hAnsi="Montserrat"/>
          <w:b/>
          <w:bCs/>
          <w:color w:val="58595B"/>
          <w:sz w:val="20"/>
          <w:szCs w:val="20"/>
        </w:rPr>
        <w:t>declines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 by 23.6% against the CAPRI baseline when farmers are required to transition immediately</w:t>
      </w:r>
      <w:r w:rsidRPr="00875B7B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(Scenario A). 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Extending the transition deadline by 10 years (Scenarios B) or by 20 years (Scenarios C) significantly </w:t>
      </w:r>
      <w:r>
        <w:rPr>
          <w:rFonts w:ascii="Montserrat" w:hAnsi="Montserrat"/>
          <w:b/>
          <w:bCs/>
          <w:color w:val="58595B"/>
          <w:sz w:val="20"/>
          <w:szCs w:val="20"/>
        </w:rPr>
        <w:t>slows down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 this negative development</w:t>
      </w:r>
      <w:r>
        <w:rPr>
          <w:rFonts w:ascii="Montserrat" w:hAnsi="Montserrat"/>
          <w:b/>
          <w:bCs/>
          <w:color w:val="58595B"/>
          <w:sz w:val="20"/>
          <w:szCs w:val="20"/>
        </w:rPr>
        <w:t>, resulting in a decline of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 between 8.4-0.5%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. 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>Transitioning to free farrowing systems will require significant investment in new pens and in reconstructi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ng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existing buildings.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Depending on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what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farmers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decide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, investment costs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may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range from around EUR 2.1 to 3.5 billion (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based on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2021 prices)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across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the different scenarios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. </w:t>
      </w:r>
    </w:p>
    <w:p w14:paraId="7B8BA3A1" w14:textId="77777777" w:rsidR="00D15786" w:rsidRPr="008C64D1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b/>
          <w:bCs/>
          <w:color w:val="6B7213"/>
          <w:sz w:val="22"/>
          <w:szCs w:val="22"/>
          <w:lang w:val="en-US"/>
        </w:rPr>
      </w:pPr>
      <w:r>
        <w:rPr>
          <w:rStyle w:val="ccpolicyoptions"/>
        </w:rPr>
        <w:t xml:space="preserve">Impact of the ban on </w:t>
      </w:r>
      <w:r w:rsidRPr="001B689F">
        <w:rPr>
          <w:rStyle w:val="ccpolicyoptions"/>
        </w:rPr>
        <w:t>enriched cages</w:t>
      </w:r>
      <w:r>
        <w:rPr>
          <w:rStyle w:val="ccpolicyoptions"/>
        </w:rPr>
        <w:t xml:space="preserve"> on EU27 egg farm production</w:t>
      </w:r>
    </w:p>
    <w:p w14:paraId="37115E23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  <w:r w:rsidRPr="005A642C">
        <w:rPr>
          <w:rFonts w:ascii="Montserrat" w:eastAsiaTheme="minorHAnsi" w:hAnsi="Montserrat" w:cstheme="minorBidi"/>
          <w:color w:val="58595B"/>
          <w:sz w:val="20"/>
          <w:szCs w:val="20"/>
        </w:rPr>
        <w:t>T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he ban on enriched cages will require </w:t>
      </w:r>
      <w:r w:rsidRPr="001D6CF9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significant investment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in the egg sector too, potentially resulting in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reduced EU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egg production.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The laying hen flock is estimated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to fall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within the range of 330 million to 379 million after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the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full transition.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Before the transition is complete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, egg production is likely to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go on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a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downward</w:t>
      </w:r>
      <w:r w:rsidRPr="001D6CF9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tr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ajectory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due to</w:t>
      </w:r>
      <w:r w:rsidRPr="009263CD" w:rsidDel="000B7E64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t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he </w:t>
      </w:r>
      <w:r w:rsidRPr="001D6CF9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decline in the number of laying hens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>. Production will also be influenced by a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slight expected 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>reduction in egg yields per laying hen.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</w:p>
    <w:p w14:paraId="305527ED" w14:textId="77777777" w:rsidR="00D15786" w:rsidRPr="005D481C" w:rsidRDefault="00D15786" w:rsidP="00D15786">
      <w:pPr>
        <w:pStyle w:val="NormalWeb"/>
        <w:shd w:val="clear" w:color="auto" w:fill="FFFFFF"/>
        <w:spacing w:after="120"/>
        <w:rPr>
          <w:rFonts w:ascii="Montserrat" w:eastAsiaTheme="minorHAnsi" w:hAnsi="Montserrat" w:cstheme="minorBidi"/>
          <w:color w:val="58595B"/>
          <w:sz w:val="20"/>
          <w:szCs w:val="20"/>
        </w:rPr>
      </w:pP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The total value of the necessary investments, expressed similarly in 2021 prices, will also depend on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whether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farmers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decide 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>to abandon or continue with production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in future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. </w:t>
      </w:r>
      <w:r w:rsidRPr="00F816AC">
        <w:rPr>
          <w:rFonts w:ascii="Montserrat" w:eastAsiaTheme="minorHAnsi" w:hAnsi="Montserrat" w:cstheme="minorBidi"/>
          <w:color w:val="58595B"/>
          <w:sz w:val="20"/>
          <w:szCs w:val="20"/>
        </w:rPr>
        <w:t>The EU-27 is expected to require investments totalling at least EUR 3.2 billion.</w:t>
      </w:r>
    </w:p>
    <w:p w14:paraId="4DE98650" w14:textId="77777777" w:rsidR="00D15786" w:rsidRDefault="00D15786" w:rsidP="00D15786">
      <w:pPr>
        <w:pStyle w:val="NormalWeb"/>
        <w:shd w:val="clear" w:color="auto" w:fill="FFFFFF"/>
        <w:spacing w:before="240" w:beforeAutospacing="0" w:after="0" w:afterAutospacing="0"/>
        <w:rPr>
          <w:rStyle w:val="ccpolicyoptions"/>
        </w:rPr>
      </w:pPr>
      <w:r>
        <w:rPr>
          <w:rStyle w:val="ccpolicyoptions"/>
        </w:rPr>
        <w:t>Overall impact on EU27</w:t>
      </w:r>
    </w:p>
    <w:p w14:paraId="12D29564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</w:p>
    <w:p w14:paraId="33B9C724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ED7D31" w:themeColor="accent2"/>
          <w:sz w:val="20"/>
          <w:szCs w:val="20"/>
        </w:rPr>
      </w:pPr>
      <w:r w:rsidRPr="00A15580">
        <w:rPr>
          <w:rStyle w:val="ccheading1"/>
          <w:lang w:val="en-US"/>
        </w:rPr>
        <w:t>- A severe impact on the EU27 net trade balance in all scenarios –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 </w:t>
      </w:r>
      <w:r w:rsidRPr="008D71A1">
        <w:rPr>
          <w:rFonts w:ascii="Montserrat" w:eastAsiaTheme="minorHAnsi" w:hAnsi="Montserrat" w:cstheme="minorBidi"/>
          <w:color w:val="58595B"/>
          <w:sz w:val="20"/>
          <w:szCs w:val="20"/>
        </w:rPr>
        <w:t>The drop in production in the pig sector and to a lesser extent in poultry has an impact on the EU's trade balance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: </w:t>
      </w:r>
      <w:r w:rsidRPr="008D71A1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In most cases,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domestic market demand</w:t>
      </w:r>
      <w:r w:rsidRPr="008D71A1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does not decrease in proportion to the drop in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production</w:t>
      </w:r>
      <w:r w:rsidRPr="008D71A1">
        <w:rPr>
          <w:rFonts w:ascii="Montserrat" w:eastAsiaTheme="minorHAnsi" w:hAnsi="Montserrat" w:cstheme="minorBidi"/>
          <w:color w:val="58595B"/>
          <w:sz w:val="20"/>
          <w:szCs w:val="20"/>
        </w:rPr>
        <w:t>, lead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ing</w:t>
      </w:r>
      <w:r w:rsidRPr="008D71A1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to a 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very strong increase in imports, particularly of pork in all scenarios (between 1086% and 43.7%), </w:t>
      </w:r>
      <w:r>
        <w:rPr>
          <w:rFonts w:ascii="Montserrat" w:hAnsi="Montserrat"/>
          <w:b/>
          <w:bCs/>
          <w:color w:val="58595B"/>
          <w:sz w:val="20"/>
          <w:szCs w:val="20"/>
        </w:rPr>
        <w:t>but also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 of eggs (between 18% and 5%)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.</w:t>
      </w:r>
      <w:r w:rsidRPr="008D71A1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Conversely,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EU27 </w:t>
      </w:r>
      <w:r w:rsidRPr="008D71A1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exports decrease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sharply</w:t>
      </w:r>
      <w:r w:rsidRPr="008D71A1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for pork and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 w:rsidRPr="008D71A1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eggs. 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>In all three scenarios, the EU27 trade balance will be in</w:t>
      </w:r>
      <w:r>
        <w:rPr>
          <w:rFonts w:ascii="Montserrat" w:hAnsi="Montserrat"/>
          <w:b/>
          <w:bCs/>
          <w:color w:val="58595B"/>
          <w:sz w:val="20"/>
          <w:szCs w:val="20"/>
        </w:rPr>
        <w:t xml:space="preserve"> a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 deficit </w:t>
      </w:r>
      <w:r>
        <w:rPr>
          <w:rFonts w:ascii="Montserrat" w:hAnsi="Montserrat"/>
          <w:b/>
          <w:bCs/>
          <w:color w:val="58595B"/>
          <w:sz w:val="20"/>
          <w:szCs w:val="20"/>
        </w:rPr>
        <w:t>across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 th</w:t>
      </w:r>
      <w:r>
        <w:rPr>
          <w:rFonts w:ascii="Montserrat" w:hAnsi="Montserrat"/>
          <w:b/>
          <w:bCs/>
          <w:color w:val="58595B"/>
          <w:sz w:val="20"/>
          <w:szCs w:val="20"/>
        </w:rPr>
        <w:t>e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se key </w:t>
      </w:r>
      <w:r>
        <w:rPr>
          <w:rFonts w:ascii="Montserrat" w:hAnsi="Montserrat"/>
          <w:b/>
          <w:bCs/>
          <w:color w:val="58595B"/>
          <w:sz w:val="20"/>
          <w:szCs w:val="20"/>
        </w:rPr>
        <w:t xml:space="preserve">types of 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>livestock production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by 2045</w:t>
      </w:r>
      <w:r w:rsidRPr="005D481C">
        <w:rPr>
          <w:rFonts w:ascii="Montserrat" w:hAnsi="Montserrat"/>
          <w:b/>
          <w:bCs/>
          <w:color w:val="58595B"/>
          <w:sz w:val="20"/>
          <w:szCs w:val="20"/>
        </w:rPr>
        <w:t xml:space="preserve">.  </w:t>
      </w:r>
    </w:p>
    <w:p w14:paraId="79197130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Montserrat" w:eastAsiaTheme="minorHAnsi" w:hAnsi="Montserrat" w:cstheme="minorBidi"/>
          <w:color w:val="58595B"/>
          <w:sz w:val="20"/>
          <w:szCs w:val="20"/>
        </w:rPr>
      </w:pPr>
      <w:r w:rsidRPr="0009125D">
        <w:rPr>
          <w:rFonts w:ascii="Montserrat" w:eastAsiaTheme="minorHAnsi" w:hAnsi="Montserrat" w:cstheme="minorBidi"/>
          <w:noProof/>
          <w:color w:val="58595B"/>
          <w:sz w:val="20"/>
          <w:szCs w:val="20"/>
        </w:rPr>
        <w:drawing>
          <wp:inline distT="0" distB="0" distL="0" distR="0" wp14:anchorId="17C692F8" wp14:editId="3C1683DB">
            <wp:extent cx="4391025" cy="2676648"/>
            <wp:effectExtent l="0" t="0" r="0" b="9525"/>
            <wp:docPr id="1260911873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11873" name="Picture 1" descr="A picture containing text, screenshot, number, fon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04243" cy="26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838B8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ind w:right="-330"/>
        <w:rPr>
          <w:rFonts w:ascii="Montserrat" w:eastAsiaTheme="minorHAnsi" w:hAnsi="Montserrat" w:cstheme="minorBidi"/>
          <w:color w:val="58595B"/>
          <w:sz w:val="20"/>
          <w:szCs w:val="20"/>
        </w:rPr>
      </w:pPr>
      <w:r>
        <w:rPr>
          <w:rFonts w:ascii="Montserrat" w:eastAsiaTheme="minorHAnsi" w:hAnsi="Montserrat" w:cstheme="minorBidi"/>
          <w:i/>
          <w:iCs/>
          <w:color w:val="58595B"/>
          <w:sz w:val="18"/>
          <w:szCs w:val="18"/>
        </w:rPr>
        <w:br/>
      </w:r>
      <w:r w:rsidRPr="00A15580">
        <w:rPr>
          <w:rStyle w:val="ccheading1"/>
          <w:lang w:val="en-US"/>
        </w:rPr>
        <w:t>- Producer/consumer price is highly dependent on the transition period chosen -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I</w:t>
      </w:r>
      <w:r w:rsidRPr="00C07306">
        <w:rPr>
          <w:rFonts w:ascii="Montserrat" w:eastAsiaTheme="minorHAnsi" w:hAnsi="Montserrat" w:cstheme="minorBidi"/>
          <w:color w:val="58595B"/>
          <w:sz w:val="20"/>
          <w:szCs w:val="20"/>
        </w:rPr>
        <w:t>n Scenario A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,</w:t>
      </w:r>
      <w:r w:rsidRPr="00C07306" w:rsidDel="00741558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the </w:t>
      </w:r>
      <w:r w:rsidRPr="00C07306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average producer price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for pork </w:t>
      </w:r>
      <w:r w:rsidRPr="00C07306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surges by 47.4% in the EU-27 compared to </w:t>
      </w:r>
      <w:r w:rsidRPr="00C07306">
        <w:rPr>
          <w:rFonts w:ascii="Montserrat" w:eastAsiaTheme="minorHAnsi" w:hAnsi="Montserrat" w:cstheme="minorBidi"/>
          <w:color w:val="58595B"/>
          <w:sz w:val="20"/>
          <w:szCs w:val="20"/>
        </w:rPr>
        <w:lastRenderedPageBreak/>
        <w:t xml:space="preserve">a 3.7% increase for eggs. 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>When a 10-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year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or 20-year long transition period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is granted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, the rise in the producer price for pork becomes much smaller and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leads 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>to more moderate shocks for consumer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s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. Changes in producer and consumer prices for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eggs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are less significant in all scenarios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(between 3.8% and 0.3%)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>.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It should be noted that both producer and consumer prices for pork and eggs exhibit a larger increase in the EU-East.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</w:p>
    <w:p w14:paraId="1C44D578" w14:textId="77777777" w:rsidR="00D15786" w:rsidRPr="002B145D" w:rsidRDefault="00D15786" w:rsidP="00D15786">
      <w:pPr>
        <w:pStyle w:val="NormalWeb"/>
        <w:shd w:val="clear" w:color="auto" w:fill="FFFFFF"/>
        <w:spacing w:before="0" w:beforeAutospacing="0" w:after="120" w:afterAutospacing="0"/>
        <w:ind w:right="-330"/>
        <w:rPr>
          <w:rFonts w:ascii="Montserrat" w:eastAsiaTheme="minorHAnsi" w:hAnsi="Montserrat" w:cstheme="minorBidi"/>
          <w:b/>
          <w:bCs/>
          <w:color w:val="CA6D05"/>
          <w:sz w:val="22"/>
          <w:szCs w:val="22"/>
        </w:rPr>
      </w:pPr>
    </w:p>
    <w:p w14:paraId="17BE2248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  <w:r w:rsidRPr="0009125D">
        <w:rPr>
          <w:rFonts w:ascii="Montserrat" w:eastAsiaTheme="minorHAnsi" w:hAnsi="Montserrat" w:cstheme="minorBidi"/>
          <w:noProof/>
          <w:color w:val="58595B"/>
          <w:sz w:val="20"/>
          <w:szCs w:val="20"/>
        </w:rPr>
        <w:drawing>
          <wp:inline distT="0" distB="0" distL="0" distR="0" wp14:anchorId="196C936D" wp14:editId="75606AC0">
            <wp:extent cx="5731510" cy="2063115"/>
            <wp:effectExtent l="0" t="0" r="2540" b="0"/>
            <wp:docPr id="678160897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60897" name="Picture 1" descr="A picture containing text, screenshot, number, fon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5D4C8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</w:p>
    <w:p w14:paraId="5030F870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</w:pPr>
      <w:r w:rsidRPr="00A15580">
        <w:rPr>
          <w:rStyle w:val="ccheading1"/>
          <w:lang w:val="en-US"/>
        </w:rPr>
        <w:t>- Different impacts on farm profits depending on production –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Profits in the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EU-27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pig sector shrink by a considerable 37.8% against the CAPRI baseline in Scenario A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, explaining the sizeable decline in pork production in the extreme situation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where 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>no transition period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is provided for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.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In the egg sector, the impacts are expected to be less severe with profits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diminishing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by 0.9% in Scenario A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 w:rsidRPr="00174565">
        <w:rPr>
          <w:rFonts w:ascii="Montserrat" w:eastAsiaTheme="minorHAnsi" w:hAnsi="Montserrat" w:cstheme="minorBidi"/>
          <w:color w:val="58595B"/>
          <w:sz w:val="20"/>
          <w:szCs w:val="20"/>
        </w:rPr>
        <w:t>because of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the substantial advancement in transitioning to cage-free housing systems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.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T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he estimated impact on profits in the pig sector </w:t>
      </w:r>
      <w:proofErr w:type="gramStart"/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>appear</w:t>
      </w:r>
      <w:proofErr w:type="gramEnd"/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to gradually erode over time. Taking a closer look at the EU macro-regions, the profit loss in the pig sector is markedly higher in the EU-West (41.5%)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compared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to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the EU-East (21.6%) in Scenario A. However, this position appears to reverse over time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. </w:t>
      </w:r>
    </w:p>
    <w:p w14:paraId="01B7BD3A" w14:textId="77777777" w:rsidR="00D15786" w:rsidRPr="005D481C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</w:pPr>
    </w:p>
    <w:p w14:paraId="00E31A10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  <w:r w:rsidRPr="0009125D">
        <w:rPr>
          <w:rFonts w:ascii="Montserrat" w:eastAsiaTheme="minorHAnsi" w:hAnsi="Montserrat" w:cstheme="minorBidi"/>
          <w:noProof/>
          <w:color w:val="58595B"/>
          <w:sz w:val="20"/>
          <w:szCs w:val="20"/>
        </w:rPr>
        <w:drawing>
          <wp:inline distT="0" distB="0" distL="0" distR="0" wp14:anchorId="0EEC43C2" wp14:editId="18F034A2">
            <wp:extent cx="5731510" cy="1807845"/>
            <wp:effectExtent l="0" t="0" r="2540" b="1905"/>
            <wp:docPr id="628788364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788364" name="Picture 1" descr="A picture containing text, screenshot, font, numb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B8FF0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</w:p>
    <w:p w14:paraId="707DB688" w14:textId="77777777" w:rsidR="00D15786" w:rsidRPr="005D481C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</w:pPr>
      <w:r w:rsidRPr="00A15580">
        <w:rPr>
          <w:rStyle w:val="ccheading1"/>
          <w:lang w:val="en-US"/>
        </w:rPr>
        <w:t>- A real challenge for the integrity of the EU27 internal market -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A comparison of pig farming across the EU macro-regions (EU-14 and EU-13) provides important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indications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regarding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the scenario outcomes.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Regardless of the length of the transition period, the new policy appears to have a lasting dividing effect on the economic performance of the EU-West (EU-14) and EU-East (EU-13) livestock sectors.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Irrespective of the length of the transition period, the percentage decline in pork supply is considerably higher in the 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lastRenderedPageBreak/>
        <w:t>EU-East compared to the EU-West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. The same conclusion applies to eggs to a smaller extent. </w:t>
      </w:r>
    </w:p>
    <w:p w14:paraId="21D06FFD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</w:rPr>
      </w:pPr>
    </w:p>
    <w:p w14:paraId="5465006B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jc w:val="center"/>
        <w:rPr>
          <w:noProof/>
        </w:rPr>
      </w:pPr>
      <w:r w:rsidRPr="006179B8">
        <w:rPr>
          <w:rFonts w:ascii="Montserrat" w:eastAsiaTheme="minorHAnsi" w:hAnsi="Montserrat" w:cstheme="minorBidi"/>
          <w:i/>
          <w:iCs/>
          <w:color w:val="58595B"/>
          <w:sz w:val="16"/>
          <w:szCs w:val="16"/>
        </w:rPr>
        <w:t>Changes in production at the NUTS-2 level of individual EU Member States against the CAPRI baseline in response to the ban on cages, with different discount rates – Most likely scenario with a transition by 2035</w:t>
      </w:r>
      <w:r w:rsidRPr="006179B8">
        <w:rPr>
          <w:rFonts w:ascii="Montserrat" w:eastAsiaTheme="minorHAnsi" w:hAnsi="Montserrat" w:cstheme="minorBidi"/>
          <w:i/>
          <w:iCs/>
          <w:color w:val="58595B"/>
          <w:sz w:val="16"/>
          <w:szCs w:val="16"/>
        </w:rPr>
        <w:br/>
      </w:r>
    </w:p>
    <w:p w14:paraId="41CDFBF6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jc w:val="center"/>
        <w:rPr>
          <w:sz w:val="22"/>
          <w:szCs w:val="22"/>
        </w:rPr>
      </w:pPr>
      <w:r w:rsidRPr="0009125D">
        <w:rPr>
          <w:noProof/>
        </w:rPr>
        <w:drawing>
          <wp:inline distT="0" distB="0" distL="0" distR="0" wp14:anchorId="521FE572" wp14:editId="2CB221E7">
            <wp:extent cx="5282583" cy="3019425"/>
            <wp:effectExtent l="0" t="0" r="0" b="0"/>
            <wp:docPr id="508354568" name="Picture 1" descr="A picture containing map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54568" name="Picture 1" descr="A picture containing map, text&#10;&#10;Description automatically generated with medium confidence"/>
                    <pic:cNvPicPr/>
                  </pic:nvPicPr>
                  <pic:blipFill rotWithShape="1">
                    <a:blip r:embed="rId15"/>
                    <a:srcRect l="5318" t="4293" r="1352"/>
                    <a:stretch/>
                  </pic:blipFill>
                  <pic:spPr bwMode="auto">
                    <a:xfrm>
                      <a:off x="0" y="0"/>
                      <a:ext cx="5282694" cy="3019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7E636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jc w:val="center"/>
        <w:rPr>
          <w:sz w:val="22"/>
          <w:szCs w:val="22"/>
        </w:rPr>
      </w:pPr>
    </w:p>
    <w:p w14:paraId="5F5750ED" w14:textId="77777777" w:rsidR="00D15786" w:rsidRPr="00A15580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Style w:val="ccheading1"/>
          <w:lang w:val="en-US"/>
        </w:rPr>
      </w:pPr>
      <w:r w:rsidRPr="00A15580">
        <w:rPr>
          <w:rStyle w:val="ccheading1"/>
          <w:lang w:val="en-US"/>
        </w:rPr>
        <w:t xml:space="preserve">- Concentration of pig and egg farms - 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>T</w:t>
      </w:r>
      <w:r w:rsidRPr="00094855">
        <w:rPr>
          <w:rFonts w:ascii="Montserrat" w:eastAsiaTheme="minorHAnsi" w:hAnsi="Montserrat" w:cstheme="minorBidi"/>
          <w:color w:val="58595B"/>
          <w:sz w:val="20"/>
          <w:szCs w:val="20"/>
        </w:rPr>
        <w:t>h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e </w:t>
      </w:r>
      <w:r w:rsidRPr="001D6CF9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process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of</w:t>
      </w:r>
      <w:r w:rsidRPr="001D6CF9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piglet production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concentration</w:t>
      </w:r>
      <w:r w:rsidRPr="00094855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is also expected to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intensify due to some 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>small-scale producers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possibly leaving the profession while </w:t>
      </w:r>
      <w:r w:rsidRPr="001D6CF9">
        <w:rPr>
          <w:rFonts w:ascii="Montserrat" w:eastAsiaTheme="minorHAnsi" w:hAnsi="Montserrat" w:cstheme="minorBidi"/>
          <w:color w:val="58595B"/>
          <w:sz w:val="20"/>
          <w:szCs w:val="20"/>
        </w:rPr>
        <w:t>ot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hers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switch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, exclusively,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to finishing.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It is expected that the ban on enriched cages 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will also exacerbate</w:t>
      </w:r>
      <w:r w:rsidRPr="005D481C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EU egg sector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concentration.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The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progress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which has been achieved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in transitioning to alternative housing systems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before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any introduction of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a ban by the European Commission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suggests 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this process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would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continue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without such an intervention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,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albeit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at a</w:t>
      </w:r>
      <w:r w:rsidRPr="005D481C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slower pace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.</w:t>
      </w:r>
    </w:p>
    <w:p w14:paraId="33C86D7D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</w:pPr>
      <w:r w:rsidRPr="00A15580">
        <w:rPr>
          <w:rStyle w:val="ccheading1"/>
          <w:lang w:val="en-US"/>
        </w:rPr>
        <w:t>- Little impact on the global warming potential (GWP) due to carbon leakage -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r w:rsidRPr="00372DC9">
        <w:rPr>
          <w:rFonts w:ascii="Montserrat" w:eastAsiaTheme="minorHAnsi" w:hAnsi="Montserrat" w:cstheme="minorBidi"/>
          <w:color w:val="58595B"/>
          <w:sz w:val="20"/>
          <w:szCs w:val="20"/>
        </w:rPr>
        <w:t>The commissioned impact assessment also includes a section on the environmental impact of excluding cages.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r w:rsidRPr="00372DC9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The study looks at the impact on emissions at E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U</w:t>
      </w:r>
      <w:r w:rsidRPr="00372DC9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level but also at the effects related to the impacts on international trade.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A switch to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alternative housing system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s in the EU-27 would be counterintuitive. Not only would it reduce production, </w:t>
      </w:r>
      <w:proofErr w:type="gramStart"/>
      <w:r>
        <w:rPr>
          <w:rFonts w:ascii="Montserrat" w:eastAsiaTheme="minorHAnsi" w:hAnsi="Montserrat" w:cstheme="minorBidi"/>
          <w:color w:val="58595B"/>
          <w:sz w:val="20"/>
          <w:szCs w:val="20"/>
        </w:rPr>
        <w:t>it</w:t>
      </w:r>
      <w:proofErr w:type="gramEnd"/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would also result in unintended </w:t>
      </w:r>
      <w:r w:rsidRPr="005045C4"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>environmental impacts</w:t>
      </w:r>
      <w:r>
        <w:rPr>
          <w:rFonts w:ascii="Montserrat" w:eastAsiaTheme="minorHAnsi" w:hAnsi="Montserrat" w:cstheme="minorBidi"/>
          <w:b/>
          <w:bCs/>
          <w:color w:val="58595B"/>
          <w:sz w:val="20"/>
          <w:szCs w:val="20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and lowered 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>physical performance of sows and lay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ing</w:t>
      </w:r>
      <w:r w:rsidRPr="009263CD">
        <w:rPr>
          <w:rFonts w:ascii="Montserrat" w:eastAsiaTheme="minorHAnsi" w:hAnsi="Montserrat" w:cstheme="minorBidi"/>
          <w:color w:val="58595B"/>
          <w:sz w:val="20"/>
          <w:szCs w:val="20"/>
        </w:rPr>
        <w:t xml:space="preserve"> hens</w:t>
      </w:r>
      <w:r>
        <w:rPr>
          <w:rFonts w:ascii="Montserrat" w:eastAsiaTheme="minorHAnsi" w:hAnsi="Montserrat" w:cstheme="minorBidi"/>
          <w:color w:val="58595B"/>
          <w:sz w:val="20"/>
          <w:szCs w:val="20"/>
        </w:rPr>
        <w:t>.</w:t>
      </w:r>
      <w:r w:rsidRPr="00372DC9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I</w:t>
      </w:r>
      <w:r w:rsidRPr="00372DC9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n most scenarios, the decrease in global warming potential in Europe is 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offset</w:t>
      </w:r>
      <w:r w:rsidRPr="00372DC9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by its increase in third countries, leading</w:t>
      </w:r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</w:t>
      </w:r>
      <w:proofErr w:type="gramStart"/>
      <w:r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>more or less</w:t>
      </w:r>
      <w:r w:rsidRPr="00372DC9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to</w:t>
      </w:r>
      <w:proofErr w:type="gramEnd"/>
      <w:r w:rsidRPr="00372DC9">
        <w:rPr>
          <w:rFonts w:ascii="Montserrat" w:eastAsiaTheme="minorHAnsi" w:hAnsi="Montserrat" w:cstheme="minorBidi"/>
          <w:color w:val="58595B"/>
          <w:sz w:val="20"/>
          <w:szCs w:val="20"/>
          <w:lang w:val="en-US"/>
        </w:rPr>
        <w:t xml:space="preserve"> a zero-sum game in scenarios B and C.  </w:t>
      </w:r>
    </w:p>
    <w:p w14:paraId="2B1D22A3" w14:textId="77777777" w:rsidR="00D15786" w:rsidRDefault="00D15786" w:rsidP="00D15786">
      <w:pPr>
        <w:pStyle w:val="NormalWeb"/>
        <w:shd w:val="clear" w:color="auto" w:fill="FFFFFF"/>
        <w:spacing w:before="0" w:beforeAutospacing="0" w:after="120" w:afterAutospacing="0"/>
        <w:jc w:val="center"/>
        <w:rPr>
          <w:lang w:val="en-GB"/>
        </w:rPr>
      </w:pPr>
      <w:r w:rsidRPr="0009125D">
        <w:rPr>
          <w:rFonts w:ascii="Montserrat" w:hAnsi="Montserrat"/>
          <w:noProof/>
          <w:color w:val="58595B"/>
          <w:sz w:val="20"/>
          <w:szCs w:val="20"/>
          <w:lang w:val="en-US"/>
        </w:rPr>
        <w:lastRenderedPageBreak/>
        <w:drawing>
          <wp:inline distT="0" distB="0" distL="0" distR="0" wp14:anchorId="48CB6C71" wp14:editId="3F0BF681">
            <wp:extent cx="5731510" cy="3744595"/>
            <wp:effectExtent l="0" t="0" r="2540" b="8255"/>
            <wp:docPr id="2099624276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24276" name="Picture 1" descr="A picture containing text, screenshot, font, numb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B503D" w14:textId="472B053B" w:rsidR="00925C9C" w:rsidRPr="00235A0D" w:rsidRDefault="00925C9C" w:rsidP="00235A0D"/>
    <w:p w14:paraId="4011F533" w14:textId="77777777" w:rsidR="00182716" w:rsidRPr="00135F43" w:rsidRDefault="00D15786" w:rsidP="00244682">
      <w:pPr>
        <w:rPr>
          <w:lang w:val="en-GB"/>
        </w:rPr>
      </w:pPr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43A6C4C718FF4E7DAEB84CEB7899FE6E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  <w:lang w:val="en-GB"/>
        </w:rPr>
        <w:t xml:space="preserve"> </w:t>
      </w:r>
    </w:p>
    <w:p w14:paraId="0BF8727B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 xml:space="preserve">Translations will be available in DE, ES, FR, IT, PL and RO on the Copa-Cogeca website soon. </w:t>
      </w:r>
    </w:p>
    <w:p w14:paraId="554CA110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Cogeca are the united voice of farmers and agri-cooperatives in the EU. Together, we ensure that EU agriculture is sustainable, innovative and competitive, while guaranteeing food security for 500 million people throughout Europe. &gt;&gt;&gt; More information </w:t>
      </w:r>
      <w:hyperlink r:id="rId17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43A6C4C718FF4E7DAEB84CEB7899FE6E"/>
        </w:placeholder>
      </w:sdtPr>
      <w:sdtEndPr/>
      <w:sdtContent>
        <w:p w14:paraId="77CBCE7B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C07B23" wp14:editId="6440AC0E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0A7EA39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F1731CA7A67E4D95B0C1642C1218DB6A"/>
        </w:placeholder>
        <w:temporary/>
      </w:sdtPr>
      <w:sdtContent>
        <w:p w14:paraId="3004C14F" w14:textId="77777777" w:rsidR="00D15786" w:rsidRPr="00135F43" w:rsidRDefault="00D15786" w:rsidP="00D15786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D15786" w:rsidRPr="00135F43" w14:paraId="1CBB5FC4" w14:textId="77777777" w:rsidTr="004B1CBF">
        <w:tc>
          <w:tcPr>
            <w:tcW w:w="4253" w:type="dxa"/>
          </w:tcPr>
          <w:p w14:paraId="4178B410" w14:textId="77777777" w:rsidR="00D15786" w:rsidRPr="00135F43" w:rsidRDefault="00D15786" w:rsidP="004B1CBF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Manon Dubois</w:t>
            </w:r>
          </w:p>
          <w:p w14:paraId="4EA0A4C6" w14:textId="77777777" w:rsidR="00D15786" w:rsidRPr="00135F43" w:rsidRDefault="00D15786" w:rsidP="004B1CBF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Policy Advisor</w:t>
            </w:r>
          </w:p>
          <w:p w14:paraId="03DE2D67" w14:textId="77777777" w:rsidR="00D15786" w:rsidRPr="00135F43" w:rsidRDefault="00D15786" w:rsidP="004B1CBF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manon.dubois@copa-cogeca.eu</w:t>
            </w:r>
          </w:p>
        </w:tc>
        <w:tc>
          <w:tcPr>
            <w:tcW w:w="4763" w:type="dxa"/>
          </w:tcPr>
          <w:p w14:paraId="7D808A5A" w14:textId="77777777" w:rsidR="00D15786" w:rsidRPr="00135F43" w:rsidRDefault="00D15786" w:rsidP="004B1CBF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Jean-Baptiste Boucher</w:t>
            </w:r>
          </w:p>
          <w:p w14:paraId="474898E7" w14:textId="77777777" w:rsidR="00D15786" w:rsidRPr="00135F43" w:rsidRDefault="00D15786" w:rsidP="004B1CBF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 Director</w:t>
            </w:r>
          </w:p>
          <w:p w14:paraId="471EB9A6" w14:textId="77777777" w:rsidR="00D15786" w:rsidRPr="00135F43" w:rsidRDefault="00D15786" w:rsidP="004B1CBF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+32 474 84 08 36</w:t>
            </w:r>
          </w:p>
          <w:p w14:paraId="00C4E615" w14:textId="77777777" w:rsidR="00D15786" w:rsidRPr="00135F43" w:rsidRDefault="00D15786" w:rsidP="004B1CBF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jean-baptiste.boucher@copa-cogeca.eu</w:t>
            </w:r>
          </w:p>
        </w:tc>
      </w:tr>
    </w:tbl>
    <w:p w14:paraId="15B7C394" w14:textId="77777777" w:rsidR="00E6727E" w:rsidRDefault="00E6727E" w:rsidP="00135F43"/>
    <w:sectPr w:rsidR="00E6727E" w:rsidSect="0010712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23584" w14:textId="77777777" w:rsidR="00D15786" w:rsidRPr="00716D7C" w:rsidRDefault="00D15786" w:rsidP="00716D7C">
      <w:r>
        <w:separator/>
      </w:r>
    </w:p>
  </w:endnote>
  <w:endnote w:type="continuationSeparator" w:id="0">
    <w:p w14:paraId="2B9D1841" w14:textId="77777777" w:rsidR="00D15786" w:rsidRPr="00716D7C" w:rsidRDefault="00D15786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0F35DF2-EE97-4ACE-93AA-4C4D0B541C10}"/>
    <w:embedBold r:id="rId2" w:fontKey="{4F1EBA25-828D-40E2-9421-85AD4DA76BE3}"/>
    <w:embedItalic r:id="rId3" w:fontKey="{0FB48B57-50D6-4FA5-A1F3-7E67635E7567}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  <w:embedRegular r:id="rId4" w:fontKey="{845F3186-308F-42AD-AC8B-C89F7ACFD343}"/>
    <w:embedBold r:id="rId5" w:fontKey="{4A4A2B21-43F7-4D38-8B49-A81F846DC62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8775632E-187F-4A68-BCD6-1D3228E5B86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7" w:fontKey="{7D7E4410-94F8-4BCD-8E63-BB2A20A93BC6}"/>
    <w:embedBold r:id="rId8" w:fontKey="{77F0366B-D966-4769-88A1-01B1F5013138}"/>
    <w:embedItalic r:id="rId9" w:fontKey="{5C17A22E-AF33-4B10-97FE-99133E84D8A9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FB64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5A5C9497" wp14:editId="2CBD41EB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7BA1034A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6B083786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35470372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FD4D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2161FDCC" wp14:editId="475248F6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22D64998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11D1FECC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4028A2E3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F0AD" w14:textId="77777777" w:rsidR="00D15786" w:rsidRPr="00716D7C" w:rsidRDefault="00D15786" w:rsidP="00716D7C">
      <w:r>
        <w:separator/>
      </w:r>
    </w:p>
  </w:footnote>
  <w:footnote w:type="continuationSeparator" w:id="0">
    <w:p w14:paraId="7DA8C77A" w14:textId="77777777" w:rsidR="00D15786" w:rsidRPr="00716D7C" w:rsidRDefault="00D15786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FC26E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63521557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73969EC6" wp14:editId="7455F9ED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F09833F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34C35EA"/>
    <w:multiLevelType w:val="hybridMultilevel"/>
    <w:tmpl w:val="991C6A4A"/>
    <w:lvl w:ilvl="0" w:tplc="B30692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  <w:num w:numId="11" w16cid:durableId="20532604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786"/>
    <w:rsid w:val="00006AB9"/>
    <w:rsid w:val="000356F5"/>
    <w:rsid w:val="00071DB6"/>
    <w:rsid w:val="000B1D84"/>
    <w:rsid w:val="000D2B3B"/>
    <w:rsid w:val="000D34BA"/>
    <w:rsid w:val="00100850"/>
    <w:rsid w:val="00107120"/>
    <w:rsid w:val="00117877"/>
    <w:rsid w:val="0013357E"/>
    <w:rsid w:val="00135F43"/>
    <w:rsid w:val="00146C88"/>
    <w:rsid w:val="0015598F"/>
    <w:rsid w:val="001648FF"/>
    <w:rsid w:val="00165DC9"/>
    <w:rsid w:val="00171312"/>
    <w:rsid w:val="00175F2B"/>
    <w:rsid w:val="00182716"/>
    <w:rsid w:val="00187A93"/>
    <w:rsid w:val="001950AD"/>
    <w:rsid w:val="001E1ED9"/>
    <w:rsid w:val="001F1C55"/>
    <w:rsid w:val="00215D96"/>
    <w:rsid w:val="00235A0D"/>
    <w:rsid w:val="00244682"/>
    <w:rsid w:val="002562CB"/>
    <w:rsid w:val="002606E9"/>
    <w:rsid w:val="00272E26"/>
    <w:rsid w:val="002B0FFD"/>
    <w:rsid w:val="002D4EA5"/>
    <w:rsid w:val="002D57AF"/>
    <w:rsid w:val="002E02A5"/>
    <w:rsid w:val="003126C2"/>
    <w:rsid w:val="00327F42"/>
    <w:rsid w:val="00341D97"/>
    <w:rsid w:val="003503C8"/>
    <w:rsid w:val="003557C1"/>
    <w:rsid w:val="003747AC"/>
    <w:rsid w:val="00380165"/>
    <w:rsid w:val="0039774E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D1FA4"/>
    <w:rsid w:val="004F6EE0"/>
    <w:rsid w:val="005202ED"/>
    <w:rsid w:val="0056456D"/>
    <w:rsid w:val="00590988"/>
    <w:rsid w:val="00592F70"/>
    <w:rsid w:val="005E5961"/>
    <w:rsid w:val="00600ED3"/>
    <w:rsid w:val="00607BB2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E59B7"/>
    <w:rsid w:val="006F5CEF"/>
    <w:rsid w:val="00716D7C"/>
    <w:rsid w:val="007306AC"/>
    <w:rsid w:val="00734E47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7501"/>
    <w:rsid w:val="00955DDE"/>
    <w:rsid w:val="00990273"/>
    <w:rsid w:val="009D163E"/>
    <w:rsid w:val="009D40C9"/>
    <w:rsid w:val="009F1163"/>
    <w:rsid w:val="00A1126D"/>
    <w:rsid w:val="00A20342"/>
    <w:rsid w:val="00A63781"/>
    <w:rsid w:val="00A9463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7564"/>
    <w:rsid w:val="00B828EF"/>
    <w:rsid w:val="00B953B8"/>
    <w:rsid w:val="00BC42AC"/>
    <w:rsid w:val="00BE0D6B"/>
    <w:rsid w:val="00BE22AC"/>
    <w:rsid w:val="00C20330"/>
    <w:rsid w:val="00C26FE0"/>
    <w:rsid w:val="00C435EA"/>
    <w:rsid w:val="00C5271A"/>
    <w:rsid w:val="00C544BA"/>
    <w:rsid w:val="00CA4F69"/>
    <w:rsid w:val="00CC4394"/>
    <w:rsid w:val="00CE19D7"/>
    <w:rsid w:val="00CF4B85"/>
    <w:rsid w:val="00D10189"/>
    <w:rsid w:val="00D1533B"/>
    <w:rsid w:val="00D15786"/>
    <w:rsid w:val="00D239FF"/>
    <w:rsid w:val="00D66617"/>
    <w:rsid w:val="00D72C78"/>
    <w:rsid w:val="00DF6217"/>
    <w:rsid w:val="00E05511"/>
    <w:rsid w:val="00E2211C"/>
    <w:rsid w:val="00E510B1"/>
    <w:rsid w:val="00E6727E"/>
    <w:rsid w:val="00E72924"/>
    <w:rsid w:val="00E9016C"/>
    <w:rsid w:val="00E92FBE"/>
    <w:rsid w:val="00E95D41"/>
    <w:rsid w:val="00EA132D"/>
    <w:rsid w:val="00F145A0"/>
    <w:rsid w:val="00F25A49"/>
    <w:rsid w:val="00F4320D"/>
    <w:rsid w:val="00F52C33"/>
    <w:rsid w:val="00F53D64"/>
    <w:rsid w:val="00F63519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69C0EA5"/>
  <w15:chartTrackingRefBased/>
  <w15:docId w15:val="{AE59910E-9E65-4160-B448-C6C9A2CA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paragraph" w:customStyle="1" w:styleId="ccdoctype">
    <w:name w:val="cc doc type"/>
    <w:basedOn w:val="Normal"/>
    <w:link w:val="ccdoctypeChar"/>
    <w:qFormat/>
    <w:rsid w:val="00D15786"/>
    <w:pPr>
      <w:spacing w:line="259" w:lineRule="auto"/>
      <w:jc w:val="left"/>
    </w:pPr>
    <w:rPr>
      <w:rFonts w:ascii="Montserrat" w:hAnsi="Montserrat"/>
      <w:b/>
      <w:bCs/>
      <w:color w:val="CA6D05"/>
      <w:sz w:val="36"/>
      <w:szCs w:val="36"/>
      <w:lang w:val="en-US"/>
    </w:rPr>
  </w:style>
  <w:style w:type="paragraph" w:customStyle="1" w:styleId="ccTitle0">
    <w:name w:val="cc Title"/>
    <w:basedOn w:val="NormalWeb"/>
    <w:link w:val="ccTitleChar"/>
    <w:qFormat/>
    <w:rsid w:val="00D15786"/>
    <w:pPr>
      <w:shd w:val="clear" w:color="auto" w:fill="FFFFFF"/>
      <w:spacing w:before="0" w:beforeAutospacing="0" w:line="276" w:lineRule="auto"/>
    </w:pPr>
    <w:rPr>
      <w:rFonts w:ascii="Montserrat" w:hAnsi="Montserrat"/>
      <w:b/>
      <w:bCs/>
      <w:color w:val="767171" w:themeColor="background2" w:themeShade="80"/>
      <w:sz w:val="36"/>
      <w:szCs w:val="36"/>
      <w:lang w:val="en-GB"/>
    </w:rPr>
  </w:style>
  <w:style w:type="character" w:customStyle="1" w:styleId="ccdoctypeChar">
    <w:name w:val="cc doc type Char"/>
    <w:basedOn w:val="DefaultParagraphFont"/>
    <w:link w:val="ccdoctype"/>
    <w:rsid w:val="00D15786"/>
    <w:rPr>
      <w:rFonts w:ascii="Montserrat" w:hAnsi="Montserrat"/>
      <w:b/>
      <w:bCs/>
      <w:color w:val="CA6D05"/>
      <w:sz w:val="36"/>
      <w:szCs w:val="36"/>
      <w:lang w:val="en-US"/>
    </w:rPr>
  </w:style>
  <w:style w:type="character" w:customStyle="1" w:styleId="ccheading1">
    <w:name w:val="cc heading 1"/>
    <w:basedOn w:val="DefaultParagraphFont"/>
    <w:uiPriority w:val="1"/>
    <w:qFormat/>
    <w:rsid w:val="00D15786"/>
    <w:rPr>
      <w:rFonts w:ascii="Montserrat" w:eastAsiaTheme="minorHAnsi" w:hAnsi="Montserrat" w:cstheme="minorBidi"/>
      <w:b/>
      <w:bCs/>
      <w:color w:val="CA6D05"/>
      <w:sz w:val="22"/>
      <w:szCs w:val="22"/>
      <w:lang w:val="fr-BE" w:eastAsia="en-US"/>
    </w:rPr>
  </w:style>
  <w:style w:type="character" w:customStyle="1" w:styleId="ccTitleChar">
    <w:name w:val="cc Title Char"/>
    <w:basedOn w:val="NormalWebChar"/>
    <w:link w:val="ccTitle0"/>
    <w:rsid w:val="00D15786"/>
    <w:rPr>
      <w:rFonts w:ascii="Montserrat" w:eastAsia="Times New Roman" w:hAnsi="Montserrat" w:cs="Times New Roman"/>
      <w:b/>
      <w:bCs/>
      <w:color w:val="767171" w:themeColor="background2" w:themeShade="80"/>
      <w:sz w:val="36"/>
      <w:szCs w:val="36"/>
      <w:shd w:val="clear" w:color="auto" w:fill="FFFFFF"/>
      <w:lang w:val="en-GB" w:eastAsia="en-BE"/>
    </w:rPr>
  </w:style>
  <w:style w:type="character" w:customStyle="1" w:styleId="ccbody0">
    <w:name w:val="cc body"/>
    <w:basedOn w:val="DefaultParagraphFont"/>
    <w:uiPriority w:val="1"/>
    <w:qFormat/>
    <w:rsid w:val="00D15786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character" w:customStyle="1" w:styleId="ccpolicyoptions">
    <w:name w:val="cc policy options"/>
    <w:basedOn w:val="DefaultParagraphFont"/>
    <w:uiPriority w:val="1"/>
    <w:qFormat/>
    <w:rsid w:val="00D15786"/>
    <w:rPr>
      <w:rFonts w:ascii="Montserrat Light" w:eastAsiaTheme="minorHAnsi" w:hAnsi="Montserrat Light" w:cstheme="minorBidi"/>
      <w:b/>
      <w:bCs/>
      <w:color w:val="6B7213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www.copa-cogeca.e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transparency/documents-register/detail?ref=C(2021)4747&amp;lang=en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A6C4C718FF4E7DAEB84CEB7899F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EA398-143C-4B69-AD8A-0ACD93AF8EA9}"/>
      </w:docPartPr>
      <w:docPartBody>
        <w:p w:rsidR="00000000" w:rsidRDefault="009F21DA">
          <w:pPr>
            <w:pStyle w:val="43A6C4C718FF4E7DAEB84CEB7899FE6E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731CA7A67E4D95B0C1642C1218D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57100-6908-4CE7-8F14-70D0A65C5B16}"/>
      </w:docPartPr>
      <w:docPartBody>
        <w:p w:rsidR="00000000" w:rsidRDefault="009F21DA" w:rsidP="009F21DA">
          <w:pPr>
            <w:pStyle w:val="F1731CA7A67E4D95B0C1642C1218DB6A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DA"/>
    <w:rsid w:val="009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BE" w:eastAsia="en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21DA"/>
    <w:rPr>
      <w:color w:val="808080"/>
    </w:rPr>
  </w:style>
  <w:style w:type="paragraph" w:customStyle="1" w:styleId="838CADDECCD84DF3AD64420608F77B83">
    <w:name w:val="838CADDECCD84DF3AD64420608F77B83"/>
  </w:style>
  <w:style w:type="paragraph" w:customStyle="1" w:styleId="E4C1E438227C4E5EADD50F297D6838E4">
    <w:name w:val="E4C1E438227C4E5EADD50F297D6838E4"/>
  </w:style>
  <w:style w:type="paragraph" w:customStyle="1" w:styleId="DDA217C2A8D94FE7967986F2DCF928B0">
    <w:name w:val="DDA217C2A8D94FE7967986F2DCF928B0"/>
  </w:style>
  <w:style w:type="paragraph" w:customStyle="1" w:styleId="43A6C4C718FF4E7DAEB84CEB7899FE6E">
    <w:name w:val="43A6C4C718FF4E7DAEB84CEB7899FE6E"/>
  </w:style>
  <w:style w:type="paragraph" w:customStyle="1" w:styleId="F1731CA7A67E4D95B0C1642C1218DB6A">
    <w:name w:val="F1731CA7A67E4D95B0C1642C1218DB6A"/>
    <w:rsid w:val="009F21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2" ma:contentTypeDescription="Create a new document." ma:contentTypeScope="" ma:versionID="50d4a66b8b94e36407c462127ae6da62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29cc48c7619f3b9827d311dbdd050992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7DE287-8375-4FA3-B4C1-57A7EECCC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2</TotalTime>
  <Pages>5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Boucher</dc:creator>
  <cp:keywords/>
  <dc:description/>
  <cp:lastModifiedBy>Jean-Baptiste Boucher</cp:lastModifiedBy>
  <cp:revision>1</cp:revision>
  <dcterms:created xsi:type="dcterms:W3CDTF">2023-05-31T09:31:00Z</dcterms:created>
  <dcterms:modified xsi:type="dcterms:W3CDTF">2023-05-31T09:33:00Z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