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137"/>
      </w:tblGrid>
      <w:tr w:rsidR="00A45E4F" w14:paraId="1D502D8F" w14:textId="77777777" w:rsidTr="006D3C08">
        <w:tc>
          <w:tcPr>
            <w:tcW w:w="4527" w:type="dxa"/>
          </w:tcPr>
          <w:p w14:paraId="6A3A5632" w14:textId="752CB047" w:rsidR="00A45E4F" w:rsidRDefault="00A45E4F" w:rsidP="00A45E4F">
            <w:pPr>
              <w:spacing w:before="120"/>
              <w:rPr>
                <w:rFonts w:ascii="Calibri" w:eastAsia="Calibri" w:hAnsi="Calibri" w:cs="Times New Roman"/>
                <w:noProof/>
                <w:kern w:val="0"/>
                <w:sz w:val="22"/>
                <w:szCs w:val="22"/>
                <w14:ligatures w14:val="none"/>
              </w:rPr>
            </w:pPr>
            <w:r>
              <w:rPr>
                <w:rFonts w:ascii="Calibri" w:hAnsi="Calibri"/>
                <w:noProof/>
                <w:sz w:val="22"/>
                <w:szCs w:val="22"/>
                <w:lang w:val="en-US"/>
              </w:rPr>
              <w:drawing>
                <wp:inline distT="0" distB="0" distL="0" distR="0" wp14:anchorId="077A5BFF" wp14:editId="08E931EB">
                  <wp:extent cx="2914015" cy="822960"/>
                  <wp:effectExtent l="0" t="0" r="635" b="0"/>
                  <wp:docPr id="76975776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tc>
        <w:tc>
          <w:tcPr>
            <w:tcW w:w="4132" w:type="dxa"/>
          </w:tcPr>
          <w:p w14:paraId="0760543F" w14:textId="77777777" w:rsidR="00A45E4F" w:rsidRPr="00A45E4F" w:rsidRDefault="00A45E4F" w:rsidP="00A45E4F">
            <w:pPr>
              <w:pBdr>
                <w:bar w:val="single" w:sz="4" w:color="auto"/>
              </w:pBdr>
              <w:spacing w:before="120"/>
              <w:jc w:val="center"/>
              <w:rPr>
                <w:rFonts w:ascii="Calibri" w:eastAsia="Calibri" w:hAnsi="Calibri" w:cs="Times New Roman"/>
                <w:noProof/>
                <w:kern w:val="0"/>
                <w:sz w:val="22"/>
                <w:szCs w:val="22"/>
                <w14:ligatures w14:val="none"/>
              </w:rPr>
            </w:pPr>
            <w:r>
              <w:rPr>
                <w:rFonts w:ascii="Calibri" w:hAnsi="Calibri"/>
                <w:noProof/>
                <w:sz w:val="22"/>
                <w:szCs w:val="22"/>
                <w:lang w:val="en-US"/>
              </w:rPr>
              <w:drawing>
                <wp:inline distT="0" distB="0" distL="0" distR="0" wp14:anchorId="158C987B" wp14:editId="4040B9B0">
                  <wp:extent cx="2530475" cy="647700"/>
                  <wp:effectExtent l="0" t="0" r="3175" b="0"/>
                  <wp:docPr id="74794475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0475" cy="647700"/>
                          </a:xfrm>
                          <a:prstGeom prst="rect">
                            <a:avLst/>
                          </a:prstGeom>
                          <a:noFill/>
                          <a:ln>
                            <a:noFill/>
                          </a:ln>
                        </pic:spPr>
                      </pic:pic>
                    </a:graphicData>
                  </a:graphic>
                </wp:inline>
              </w:drawing>
            </w:r>
          </w:p>
          <w:p w14:paraId="5B09AD74" w14:textId="77777777" w:rsidR="00A45E4F" w:rsidRDefault="00A45E4F" w:rsidP="00A45E4F">
            <w:pPr>
              <w:jc w:val="both"/>
              <w:rPr>
                <w:rFonts w:ascii="Calibri" w:eastAsia="Calibri" w:hAnsi="Calibri" w:cs="Times New Roman"/>
                <w:noProof/>
                <w:kern w:val="0"/>
                <w:sz w:val="22"/>
                <w:szCs w:val="22"/>
                <w:lang w:eastAsia="fr-BE"/>
                <w14:ligatures w14:val="none"/>
              </w:rPr>
            </w:pPr>
          </w:p>
        </w:tc>
      </w:tr>
      <w:tr w:rsidR="00A45E4F" w14:paraId="41C97F03" w14:textId="77777777" w:rsidTr="006D3C08">
        <w:tc>
          <w:tcPr>
            <w:tcW w:w="4527" w:type="dxa"/>
          </w:tcPr>
          <w:p w14:paraId="27F08870" w14:textId="42C73406" w:rsidR="00A45E4F" w:rsidRDefault="00A45E4F" w:rsidP="00A45E4F">
            <w:pPr>
              <w:spacing w:before="120"/>
              <w:jc w:val="center"/>
              <w:rPr>
                <w:rFonts w:ascii="Calibri" w:eastAsia="Calibri" w:hAnsi="Calibri" w:cs="Times New Roman"/>
                <w:noProof/>
                <w:kern w:val="0"/>
                <w:sz w:val="22"/>
                <w:szCs w:val="22"/>
                <w14:ligatures w14:val="none"/>
              </w:rPr>
            </w:pPr>
            <w:r>
              <w:rPr>
                <w:rFonts w:ascii="Calibri" w:hAnsi="Calibri"/>
                <w:noProof/>
                <w:sz w:val="22"/>
                <w:szCs w:val="22"/>
                <w:lang w:val="en-US"/>
              </w:rPr>
              <w:drawing>
                <wp:inline distT="0" distB="0" distL="0" distR="0" wp14:anchorId="6F23A54A" wp14:editId="4589034A">
                  <wp:extent cx="2438400" cy="1319530"/>
                  <wp:effectExtent l="0" t="0" r="0" b="0"/>
                  <wp:docPr id="13454187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063" cy="1322595"/>
                          </a:xfrm>
                          <a:prstGeom prst="rect">
                            <a:avLst/>
                          </a:prstGeom>
                          <a:noFill/>
                        </pic:spPr>
                      </pic:pic>
                    </a:graphicData>
                  </a:graphic>
                </wp:inline>
              </w:drawing>
            </w:r>
          </w:p>
        </w:tc>
        <w:tc>
          <w:tcPr>
            <w:tcW w:w="4132" w:type="dxa"/>
          </w:tcPr>
          <w:p w14:paraId="51AF0116" w14:textId="79E722CA" w:rsidR="00A45E4F" w:rsidRDefault="00A45E4F" w:rsidP="00A45E4F">
            <w:pPr>
              <w:spacing w:before="120"/>
              <w:jc w:val="center"/>
              <w:rPr>
                <w:rFonts w:ascii="Calibri" w:eastAsia="Calibri" w:hAnsi="Calibri" w:cs="Times New Roman"/>
                <w:noProof/>
                <w:kern w:val="0"/>
                <w:sz w:val="22"/>
                <w:szCs w:val="22"/>
                <w14:ligatures w14:val="none"/>
              </w:rPr>
            </w:pPr>
            <w:r>
              <w:rPr>
                <w:noProof/>
                <w:lang w:val="en-US"/>
              </w:rPr>
              <w:drawing>
                <wp:inline distT="0" distB="0" distL="0" distR="0" wp14:anchorId="332E9938" wp14:editId="1DB8BA4F">
                  <wp:extent cx="2638425" cy="1133475"/>
                  <wp:effectExtent l="0" t="0" r="9525" b="9525"/>
                  <wp:docPr id="1384051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3538" name=""/>
                          <pic:cNvPicPr/>
                        </pic:nvPicPr>
                        <pic:blipFill>
                          <a:blip r:embed="rId11"/>
                          <a:stretch>
                            <a:fillRect/>
                          </a:stretch>
                        </pic:blipFill>
                        <pic:spPr>
                          <a:xfrm>
                            <a:off x="0" y="0"/>
                            <a:ext cx="2638425" cy="1133475"/>
                          </a:xfrm>
                          <a:prstGeom prst="rect">
                            <a:avLst/>
                          </a:prstGeom>
                        </pic:spPr>
                      </pic:pic>
                    </a:graphicData>
                  </a:graphic>
                </wp:inline>
              </w:drawing>
            </w:r>
          </w:p>
        </w:tc>
      </w:tr>
      <w:tr w:rsidR="00A45E4F" w14:paraId="36AE376C" w14:textId="77777777" w:rsidTr="006D3C08">
        <w:tc>
          <w:tcPr>
            <w:tcW w:w="4527" w:type="dxa"/>
          </w:tcPr>
          <w:p w14:paraId="6A1A5DA5" w14:textId="641F1D6A" w:rsidR="00A45E4F" w:rsidRDefault="00A45E4F" w:rsidP="00A45E4F">
            <w:pPr>
              <w:spacing w:before="120"/>
              <w:jc w:val="center"/>
              <w:rPr>
                <w:rFonts w:ascii="Calibri" w:eastAsia="Calibri" w:hAnsi="Calibri" w:cs="Times New Roman"/>
                <w:noProof/>
                <w:kern w:val="0"/>
                <w:sz w:val="22"/>
                <w:szCs w:val="22"/>
                <w14:ligatures w14:val="none"/>
              </w:rPr>
            </w:pPr>
            <w:r>
              <w:rPr>
                <w:noProof/>
                <w:lang w:val="en-US"/>
              </w:rPr>
              <w:drawing>
                <wp:inline distT="0" distB="0" distL="0" distR="0" wp14:anchorId="18B86605" wp14:editId="752E809D">
                  <wp:extent cx="2693670" cy="900430"/>
                  <wp:effectExtent l="0" t="0" r="0" b="0"/>
                  <wp:docPr id="7472247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80963" name=""/>
                          <pic:cNvPicPr/>
                        </pic:nvPicPr>
                        <pic:blipFill>
                          <a:blip r:embed="rId12"/>
                          <a:stretch>
                            <a:fillRect/>
                          </a:stretch>
                        </pic:blipFill>
                        <pic:spPr>
                          <a:xfrm>
                            <a:off x="0" y="0"/>
                            <a:ext cx="2693670" cy="900430"/>
                          </a:xfrm>
                          <a:prstGeom prst="rect">
                            <a:avLst/>
                          </a:prstGeom>
                        </pic:spPr>
                      </pic:pic>
                    </a:graphicData>
                  </a:graphic>
                </wp:inline>
              </w:drawing>
            </w:r>
          </w:p>
        </w:tc>
        <w:tc>
          <w:tcPr>
            <w:tcW w:w="4132" w:type="dxa"/>
          </w:tcPr>
          <w:p w14:paraId="10876EB1" w14:textId="616A6378" w:rsidR="00A45E4F" w:rsidRDefault="00A45E4F" w:rsidP="00A45E4F">
            <w:pPr>
              <w:spacing w:before="120"/>
              <w:jc w:val="center"/>
              <w:rPr>
                <w:rFonts w:ascii="Calibri" w:eastAsia="Calibri" w:hAnsi="Calibri" w:cs="Times New Roman"/>
                <w:noProof/>
                <w:kern w:val="0"/>
                <w:sz w:val="22"/>
                <w:szCs w:val="22"/>
                <w14:ligatures w14:val="none"/>
              </w:rPr>
            </w:pPr>
            <w:r>
              <w:rPr>
                <w:noProof/>
                <w:lang w:val="en-US"/>
              </w:rPr>
              <w:drawing>
                <wp:inline distT="0" distB="0" distL="0" distR="0" wp14:anchorId="4976E4C9" wp14:editId="7133C5F6">
                  <wp:extent cx="2105025" cy="752475"/>
                  <wp:effectExtent l="0" t="0" r="9525" b="9525"/>
                  <wp:docPr id="1954949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49583" name=""/>
                          <pic:cNvPicPr/>
                        </pic:nvPicPr>
                        <pic:blipFill>
                          <a:blip r:embed="rId13"/>
                          <a:stretch>
                            <a:fillRect/>
                          </a:stretch>
                        </pic:blipFill>
                        <pic:spPr>
                          <a:xfrm>
                            <a:off x="0" y="0"/>
                            <a:ext cx="2105025" cy="752475"/>
                          </a:xfrm>
                          <a:prstGeom prst="rect">
                            <a:avLst/>
                          </a:prstGeom>
                        </pic:spPr>
                      </pic:pic>
                    </a:graphicData>
                  </a:graphic>
                </wp:inline>
              </w:drawing>
            </w:r>
          </w:p>
        </w:tc>
      </w:tr>
      <w:tr w:rsidR="00A45E4F" w14:paraId="0254972C" w14:textId="77777777" w:rsidTr="006D3C08">
        <w:tc>
          <w:tcPr>
            <w:tcW w:w="4527" w:type="dxa"/>
          </w:tcPr>
          <w:p w14:paraId="5490E9C6" w14:textId="387EE4FF" w:rsidR="00A45E4F" w:rsidRDefault="00A45E4F" w:rsidP="00A45E4F">
            <w:pPr>
              <w:jc w:val="center"/>
              <w:rPr>
                <w:rFonts w:ascii="Calibri" w:eastAsia="Calibri" w:hAnsi="Calibri" w:cs="Times New Roman"/>
                <w:noProof/>
                <w:kern w:val="0"/>
                <w:sz w:val="22"/>
                <w:szCs w:val="22"/>
                <w14:ligatures w14:val="none"/>
              </w:rPr>
            </w:pPr>
            <w:r>
              <w:rPr>
                <w:rFonts w:ascii="Calibri" w:hAnsi="Calibri"/>
                <w:noProof/>
                <w:sz w:val="22"/>
                <w:szCs w:val="22"/>
                <w:lang w:val="en-US"/>
              </w:rPr>
              <w:drawing>
                <wp:inline distT="0" distB="0" distL="0" distR="0" wp14:anchorId="05804F31" wp14:editId="3520703F">
                  <wp:extent cx="1420495" cy="1426845"/>
                  <wp:effectExtent l="0" t="0" r="8255" b="1905"/>
                  <wp:docPr id="139197035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0495" cy="1426845"/>
                          </a:xfrm>
                          <a:prstGeom prst="rect">
                            <a:avLst/>
                          </a:prstGeom>
                          <a:noFill/>
                        </pic:spPr>
                      </pic:pic>
                    </a:graphicData>
                  </a:graphic>
                </wp:inline>
              </w:drawing>
            </w:r>
          </w:p>
        </w:tc>
        <w:tc>
          <w:tcPr>
            <w:tcW w:w="4132" w:type="dxa"/>
          </w:tcPr>
          <w:p w14:paraId="56652BF7" w14:textId="5D891FEE" w:rsidR="00A45E4F" w:rsidRDefault="00A45E4F" w:rsidP="00A45E4F">
            <w:pPr>
              <w:spacing w:before="120"/>
              <w:rPr>
                <w:rFonts w:ascii="Calibri" w:eastAsia="Calibri" w:hAnsi="Calibri" w:cs="Times New Roman"/>
                <w:noProof/>
                <w:kern w:val="0"/>
                <w:sz w:val="22"/>
                <w:szCs w:val="22"/>
                <w14:ligatures w14:val="none"/>
              </w:rPr>
            </w:pPr>
            <w:r>
              <w:rPr>
                <w:rFonts w:ascii="Calibri" w:hAnsi="Calibri"/>
                <w:noProof/>
                <w:sz w:val="22"/>
                <w:szCs w:val="22"/>
                <w:lang w:val="en-US"/>
              </w:rPr>
              <w:drawing>
                <wp:inline distT="0" distB="0" distL="0" distR="0" wp14:anchorId="519BF847" wp14:editId="48251684">
                  <wp:extent cx="2487295" cy="933450"/>
                  <wp:effectExtent l="0" t="0" r="8255" b="0"/>
                  <wp:docPr id="175000098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295" cy="933450"/>
                          </a:xfrm>
                          <a:prstGeom prst="rect">
                            <a:avLst/>
                          </a:prstGeom>
                          <a:noFill/>
                        </pic:spPr>
                      </pic:pic>
                    </a:graphicData>
                  </a:graphic>
                </wp:inline>
              </w:drawing>
            </w:r>
          </w:p>
        </w:tc>
      </w:tr>
    </w:tbl>
    <w:p w14:paraId="58B59C69" w14:textId="77777777" w:rsidR="00A45E4F" w:rsidRDefault="00A45E4F" w:rsidP="00A45E4F">
      <w:pPr>
        <w:pBdr>
          <w:bar w:val="single" w:sz="4" w:color="auto"/>
        </w:pBdr>
        <w:spacing w:after="0" w:line="240" w:lineRule="auto"/>
        <w:ind w:left="357"/>
        <w:jc w:val="both"/>
        <w:rPr>
          <w:rFonts w:ascii="Calibri" w:eastAsia="Calibri" w:hAnsi="Calibri" w:cs="Times New Roman"/>
          <w:noProof/>
          <w:kern w:val="0"/>
          <w:sz w:val="22"/>
          <w:szCs w:val="22"/>
          <w:lang w:eastAsia="fr-BE"/>
          <w14:ligatures w14:val="none"/>
        </w:rPr>
      </w:pPr>
    </w:p>
    <w:p w14:paraId="6507A7B6" w14:textId="2DAA161A" w:rsidR="006F0280" w:rsidRPr="00517307" w:rsidRDefault="006F0280" w:rsidP="006F0280">
      <w:pPr>
        <w:spacing w:after="120" w:line="240" w:lineRule="auto"/>
        <w:ind w:left="360"/>
        <w:jc w:val="right"/>
        <w:rPr>
          <w:rFonts w:ascii="Montserrat" w:eastAsia="Calibri" w:hAnsi="Montserrat" w:cs="Times New Roman"/>
          <w:kern w:val="0"/>
          <w:sz w:val="22"/>
          <w:szCs w:val="22"/>
          <w14:ligatures w14:val="none"/>
        </w:rPr>
      </w:pPr>
      <w:r>
        <w:rPr>
          <w:rFonts w:ascii="Montserrat" w:hAnsi="Montserrat"/>
          <w:sz w:val="22"/>
          <w:szCs w:val="22"/>
        </w:rPr>
        <w:t>Bruxelles, le 28 mai 2024</w:t>
      </w:r>
    </w:p>
    <w:p w14:paraId="71B9EA6C" w14:textId="77777777" w:rsidR="006F0280" w:rsidRPr="00517307" w:rsidRDefault="006F0280" w:rsidP="006F0280">
      <w:pPr>
        <w:spacing w:after="120" w:line="240" w:lineRule="auto"/>
        <w:ind w:left="360"/>
        <w:jc w:val="center"/>
        <w:rPr>
          <w:rFonts w:ascii="Montserrat" w:eastAsia="Calibri" w:hAnsi="Montserrat" w:cs="Times New Roman"/>
          <w:b/>
          <w:bCs/>
          <w:kern w:val="0"/>
          <w:sz w:val="28"/>
          <w:szCs w:val="28"/>
          <w14:ligatures w14:val="none"/>
        </w:rPr>
      </w:pPr>
      <w:bookmarkStart w:id="0" w:name="_GoBack"/>
      <w:r>
        <w:rPr>
          <w:rFonts w:ascii="Montserrat" w:hAnsi="Montserrat"/>
          <w:b/>
          <w:bCs/>
          <w:sz w:val="28"/>
          <w:szCs w:val="28"/>
        </w:rPr>
        <w:t>Plan d’action européen</w:t>
      </w:r>
    </w:p>
    <w:p w14:paraId="0463345D" w14:textId="0A3EB3FA" w:rsidR="006F0280" w:rsidRPr="00517307" w:rsidRDefault="006F0280" w:rsidP="006F0280">
      <w:pPr>
        <w:spacing w:after="120" w:line="240" w:lineRule="auto"/>
        <w:ind w:left="360"/>
        <w:jc w:val="center"/>
        <w:rPr>
          <w:rFonts w:ascii="Montserrat" w:eastAsia="Calibri" w:hAnsi="Montserrat" w:cs="Times New Roman"/>
          <w:b/>
          <w:bCs/>
          <w:kern w:val="0"/>
          <w:sz w:val="28"/>
          <w:szCs w:val="28"/>
          <w14:ligatures w14:val="none"/>
        </w:rPr>
      </w:pPr>
      <w:r>
        <w:rPr>
          <w:rFonts w:ascii="Montserrat" w:hAnsi="Montserrat"/>
          <w:b/>
          <w:bCs/>
          <w:sz w:val="28"/>
          <w:szCs w:val="28"/>
        </w:rPr>
        <w:t>La production de pommes de terre de l’UE est en danger : appel à un plan de lutte contre le mildiou.</w:t>
      </w:r>
    </w:p>
    <w:bookmarkEnd w:id="0"/>
    <w:p w14:paraId="6CDC8277" w14:textId="77777777" w:rsidR="006F0280" w:rsidRPr="00F06F0C" w:rsidRDefault="006F0280" w:rsidP="006F0280">
      <w:pPr>
        <w:spacing w:after="120" w:line="240" w:lineRule="auto"/>
        <w:ind w:left="360"/>
        <w:textAlignment w:val="baseline"/>
        <w:rPr>
          <w:rFonts w:ascii="Montserrat" w:eastAsia="Times New Roman" w:hAnsi="Montserrat" w:cs="Aptos"/>
          <w:b/>
          <w:bCs/>
          <w:kern w:val="0"/>
          <w:sz w:val="22"/>
          <w:szCs w:val="22"/>
          <w:lang w:val="fr-BE" w:eastAsia="en-GB"/>
          <w14:ligatures w14:val="none"/>
        </w:rPr>
      </w:pPr>
    </w:p>
    <w:p w14:paraId="6285EF49" w14:textId="77777777" w:rsidR="006F0280" w:rsidRPr="00517307" w:rsidRDefault="006F0280" w:rsidP="006F0280">
      <w:pPr>
        <w:spacing w:after="120" w:line="240" w:lineRule="auto"/>
        <w:ind w:left="360"/>
        <w:textAlignment w:val="baseline"/>
        <w:rPr>
          <w:rFonts w:ascii="Montserrat" w:eastAsia="Times New Roman" w:hAnsi="Montserrat" w:cs="Aptos"/>
          <w:b/>
          <w:bCs/>
          <w:kern w:val="0"/>
          <w14:ligatures w14:val="none"/>
        </w:rPr>
      </w:pPr>
      <w:r>
        <w:rPr>
          <w:rFonts w:ascii="Montserrat" w:hAnsi="Montserrat"/>
          <w:b/>
          <w:bCs/>
        </w:rPr>
        <w:t>Introduction</w:t>
      </w:r>
    </w:p>
    <w:p w14:paraId="4739BEA0" w14:textId="47ACD2D4"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Le mildiou de la pomme de terre </w:t>
      </w:r>
      <w:r>
        <w:rPr>
          <w:rFonts w:ascii="Montserrat" w:hAnsi="Montserrat"/>
          <w:i/>
          <w:iCs/>
          <w:color w:val="000000"/>
          <w:sz w:val="20"/>
          <w:szCs w:val="20"/>
        </w:rPr>
        <w:t>(Phytophthora infestans)</w:t>
      </w:r>
      <w:r>
        <w:rPr>
          <w:rFonts w:ascii="Montserrat" w:hAnsi="Montserrat"/>
          <w:color w:val="000000"/>
          <w:sz w:val="20"/>
          <w:szCs w:val="20"/>
        </w:rPr>
        <w:t xml:space="preserve"> est la maladie qui fait le plus de ravages dans les cultures de pommes de terre et qui est responsable de la Grande Famine en Irlande au XIX</w:t>
      </w:r>
      <w:r>
        <w:rPr>
          <w:rFonts w:ascii="Montserrat" w:hAnsi="Montserrat"/>
          <w:color w:val="000000"/>
          <w:sz w:val="20"/>
          <w:szCs w:val="20"/>
          <w:vertAlign w:val="superscript"/>
        </w:rPr>
        <w:t>e</w:t>
      </w:r>
      <w:r>
        <w:rPr>
          <w:rFonts w:ascii="Montserrat" w:hAnsi="Montserrat"/>
          <w:color w:val="000000"/>
          <w:sz w:val="20"/>
          <w:szCs w:val="20"/>
        </w:rPr>
        <w:t xml:space="preserve"> siècle. Chaque année, il cause des dégâts économiques dans l’UE estimés à environ 900 millions d’euros. </w:t>
      </w:r>
    </w:p>
    <w:p w14:paraId="0D52EAAD" w14:textId="696A3525"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Le pathogène infecte à la fois le feuillage et les tubercules et peut détruire l'ensemble de la culture en une à deux semaines. En outre, l'agent pathogène a une grande capacité d’adaptation et est capable de développer rapidement une résistance aux fongicides et de contourner les gènes de résistance des plants de pommes de terre (gènes R). </w:t>
      </w:r>
    </w:p>
    <w:p w14:paraId="4101AD90" w14:textId="1CFDDFEB"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Récemment, la population pathogène a développé des spectres de virulence plus complexes (c'est-à-dire la capacité de contourner de plus en plus de combinaisons de gènes R) ainsi qu'une résistance combinée aux principes actifs des fongicides unisites. Ces développements réduisent le nombre d'outils de contrôle efficaces, potentiellement à un niveau si bas que les stratégies actuelles de lutte intégrée contre les nuisibles (IPM) ne seront plus efficaces à l'avenir.</w:t>
      </w:r>
    </w:p>
    <w:p w14:paraId="786C486C" w14:textId="5283F50A" w:rsidR="006F0280"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lastRenderedPageBreak/>
        <w:t>Des stratégies de contrôle tournées vers l'avenir</w:t>
      </w:r>
      <w:r>
        <w:t xml:space="preserve"> </w:t>
      </w:r>
      <w:bookmarkStart w:id="1" w:name="_Hlk167706995"/>
      <w:r>
        <w:rPr>
          <w:rFonts w:ascii="Montserrat" w:hAnsi="Montserrat"/>
          <w:color w:val="000000"/>
          <w:sz w:val="20"/>
          <w:szCs w:val="20"/>
        </w:rPr>
        <w:t>dans le cadre de la lutte intégrée (IPM)</w:t>
      </w:r>
      <w:bookmarkEnd w:id="1"/>
      <w:r>
        <w:rPr>
          <w:rFonts w:ascii="Montserrat" w:hAnsi="Montserrat"/>
          <w:color w:val="000000"/>
          <w:sz w:val="20"/>
          <w:szCs w:val="20"/>
        </w:rPr>
        <w:t xml:space="preserve"> sont réalisables en combinant la stratégie de contrôle actuelle avec l'introduction de variétés de pommes de terre plus résistantes, des pratiques de gestion agricole contre l'infection et la disponibilité de fongicides avec une gamme de « modes d'action » à la fois pour les gènes de résistance et les principes actifs des fongicides qui se complètent et se protègent les uns les autres.</w:t>
      </w:r>
    </w:p>
    <w:p w14:paraId="795CD809" w14:textId="77777777" w:rsidR="00517307" w:rsidRPr="00F06F0C" w:rsidRDefault="00517307"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val="fr-BE" w:eastAsia="en-GB"/>
          <w14:ligatures w14:val="none"/>
        </w:rPr>
      </w:pPr>
    </w:p>
    <w:p w14:paraId="6D2352A4" w14:textId="77777777" w:rsidR="006F0280" w:rsidRPr="00517307" w:rsidRDefault="006F0280" w:rsidP="006F0280">
      <w:pPr>
        <w:spacing w:after="120" w:line="240" w:lineRule="auto"/>
        <w:ind w:left="360"/>
        <w:jc w:val="both"/>
        <w:textAlignment w:val="baseline"/>
        <w:rPr>
          <w:rFonts w:ascii="Montserrat" w:eastAsia="Aptos" w:hAnsi="Montserrat" w:cs="Aptos"/>
          <w:b/>
          <w:bCs/>
          <w:color w:val="000000"/>
          <w14:ligatures w14:val="none"/>
        </w:rPr>
      </w:pPr>
      <w:r>
        <w:rPr>
          <w:rFonts w:ascii="Montserrat" w:hAnsi="Montserrat"/>
          <w:b/>
          <w:bCs/>
          <w:color w:val="000000"/>
        </w:rPr>
        <w:t>Le mildiou constitue une véritable menace pour la production de pommes de terre, la chaîne d’approvisionnement et le bilan commerciale de l’UE.</w:t>
      </w:r>
    </w:p>
    <w:p w14:paraId="7F263DB5" w14:textId="2F100C9C" w:rsidR="006F0280" w:rsidRPr="00517307"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De nouvelles souches de mildiou de la pomme de terre extrêmement agressives</w:t>
      </w:r>
      <w:r w:rsidR="00F06F0C">
        <w:rPr>
          <w:rFonts w:ascii="Montserrat" w:hAnsi="Montserrat"/>
          <w:color w:val="000000"/>
          <w:sz w:val="20"/>
          <w:szCs w:val="20"/>
        </w:rPr>
        <w:t xml:space="preserve"> </w:t>
      </w:r>
      <w:r>
        <w:rPr>
          <w:rFonts w:ascii="Montserrat" w:hAnsi="Montserrat"/>
          <w:color w:val="000000"/>
          <w:sz w:val="20"/>
          <w:szCs w:val="20"/>
        </w:rPr>
        <w:t>(</w:t>
      </w:r>
      <w:r>
        <w:rPr>
          <w:rFonts w:ascii="Montserrat" w:hAnsi="Montserrat"/>
          <w:i/>
          <w:iCs/>
          <w:color w:val="000000"/>
          <w:sz w:val="20"/>
          <w:szCs w:val="20"/>
        </w:rPr>
        <w:t>Phytophthora infestans</w:t>
      </w:r>
      <w:r>
        <w:rPr>
          <w:rFonts w:ascii="Montserrat" w:hAnsi="Montserrat"/>
          <w:color w:val="000000"/>
          <w:sz w:val="20"/>
          <w:szCs w:val="20"/>
        </w:rPr>
        <w:t>) se propagent rapidement. En outre, ces souches développent une résistance aux fongicides unisites couramment utilisés pour lutter contre le mildiou dans l'UE. Les fongicides multisites ne sont plus disponibles pour les producteurs de pommes de terre de l'UE. Actuellement, une résistance a été détectée pour quatre des onze principaux modes d'action des fongicides. Par conséquent, les modes d'action restants sont soumis à une pression accrue. On s'attend à ce que l'émergence de la résistance aux modes d'action restants se développe au cours des prochaines saisons.</w:t>
      </w:r>
    </w:p>
    <w:p w14:paraId="791A4AC0" w14:textId="77777777" w:rsidR="006F0280" w:rsidRPr="00517307"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En outre, certaines résistances génétiques de la pomme de terre ont été contournées par le mildiou dans les cultures, mettant en péril une pierre angulaire essentielle de la gestion intégrée des cultures. L'avenir de la production de pommes de terre en Europe est menacé pour tous les types de production, qu'il s'agisse de production conventionnelle, biologique ou de jardinage amateur. La préservation de la santé des cultures et de la qualité des produits est la pierre angulaire de toutes les activités agricoles, quelle que soit la méthode de production.</w:t>
      </w:r>
    </w:p>
    <w:p w14:paraId="00B2ADA7" w14:textId="77777777" w:rsidR="006F0280" w:rsidRPr="00517307" w:rsidRDefault="006F0280" w:rsidP="006F0280">
      <w:pPr>
        <w:spacing w:after="120" w:line="240" w:lineRule="auto"/>
        <w:ind w:left="360"/>
        <w:textAlignment w:val="baseline"/>
        <w:rPr>
          <w:rFonts w:ascii="Montserrat" w:eastAsia="Times New Roman" w:hAnsi="Montserrat" w:cs="Open Sans"/>
          <w:color w:val="0A0A0A"/>
          <w:kern w:val="0"/>
          <w:sz w:val="20"/>
          <w:szCs w:val="20"/>
          <w:shd w:val="clear" w:color="auto" w:fill="FEFEFE"/>
          <w14:ligatures w14:val="none"/>
        </w:rPr>
      </w:pPr>
      <w:r>
        <w:rPr>
          <w:rFonts w:ascii="Montserrat" w:hAnsi="Montserrat"/>
          <w:color w:val="0A0A0A"/>
          <w:sz w:val="20"/>
          <w:szCs w:val="20"/>
          <w:shd w:val="clear" w:color="auto" w:fill="FEFEFE"/>
        </w:rPr>
        <w:t>Le mildiou de la pomme de terre est déjà un fléau pour la saison 2024 et le secteur de la pomme de terre a désespérément besoin de solutions à court et à long terme, y compris en termes de recherche et d'application.</w:t>
      </w:r>
    </w:p>
    <w:p w14:paraId="61BC838F" w14:textId="77777777" w:rsidR="006F0280" w:rsidRPr="00517307" w:rsidRDefault="006F0280" w:rsidP="006F0280">
      <w:pPr>
        <w:spacing w:after="120" w:line="240" w:lineRule="auto"/>
        <w:ind w:left="360"/>
        <w:jc w:val="both"/>
        <w:textAlignment w:val="baseline"/>
        <w:rPr>
          <w:rFonts w:ascii="Montserrat" w:eastAsia="Times New Roman" w:hAnsi="Montserrat" w:cs="Open Sans"/>
          <w:color w:val="0A0A0A"/>
          <w:kern w:val="0"/>
          <w:sz w:val="20"/>
          <w:szCs w:val="20"/>
          <w:shd w:val="clear" w:color="auto" w:fill="FEFEFE"/>
          <w14:ligatures w14:val="none"/>
        </w:rPr>
      </w:pPr>
      <w:r>
        <w:rPr>
          <w:rFonts w:ascii="Montserrat" w:hAnsi="Montserrat"/>
          <w:color w:val="000000"/>
          <w:sz w:val="20"/>
          <w:szCs w:val="20"/>
        </w:rPr>
        <w:t xml:space="preserve">Il est essentiel d'informer la Commission européenne, le Parlement européen et les États membres </w:t>
      </w:r>
      <w:r>
        <w:rPr>
          <w:rFonts w:ascii="Montserrat" w:hAnsi="Montserrat"/>
          <w:b/>
          <w:bCs/>
          <w:color w:val="000000"/>
          <w:sz w:val="20"/>
          <w:szCs w:val="20"/>
        </w:rPr>
        <w:t>de la gravité de la situation et du besoin urgent d'une action coordonnée, notamment le déploiement de politiques et de ressources appropriées de la part de la Commission européenne et des États membres.</w:t>
      </w:r>
    </w:p>
    <w:p w14:paraId="180FDF04" w14:textId="77777777" w:rsidR="006F0280" w:rsidRPr="00F06F0C" w:rsidRDefault="006F0280" w:rsidP="006F0280">
      <w:pPr>
        <w:spacing w:after="120" w:line="240" w:lineRule="auto"/>
        <w:jc w:val="both"/>
        <w:textAlignment w:val="baseline"/>
        <w:rPr>
          <w:rFonts w:ascii="Montserrat" w:eastAsia="Times New Roman" w:hAnsi="Montserrat" w:cs="Aptos"/>
          <w:color w:val="000000"/>
          <w:kern w:val="0"/>
          <w:sz w:val="22"/>
          <w:szCs w:val="22"/>
          <w:lang w:val="fr-BE" w:eastAsia="en-GB"/>
          <w14:ligatures w14:val="none"/>
        </w:rPr>
      </w:pPr>
    </w:p>
    <w:p w14:paraId="33EB6822" w14:textId="77777777" w:rsidR="006F0280" w:rsidRPr="00517307" w:rsidRDefault="006F0280" w:rsidP="006F0280">
      <w:pPr>
        <w:spacing w:after="120" w:line="240" w:lineRule="auto"/>
        <w:ind w:left="360"/>
        <w:jc w:val="both"/>
        <w:textAlignment w:val="baseline"/>
        <w:rPr>
          <w:rFonts w:ascii="Montserrat" w:eastAsia="Times New Roman" w:hAnsi="Montserrat" w:cs="Aptos"/>
          <w:b/>
          <w:bCs/>
          <w:color w:val="000000"/>
          <w:kern w:val="0"/>
          <w14:ligatures w14:val="none"/>
        </w:rPr>
      </w:pPr>
      <w:r>
        <w:rPr>
          <w:rFonts w:ascii="Montserrat" w:hAnsi="Montserrat"/>
          <w:b/>
          <w:bCs/>
          <w:color w:val="000000"/>
        </w:rPr>
        <w:t>Il nous faut un plan d’action européen pour lutter contre le mildiou de la pomme de terre !</w:t>
      </w:r>
    </w:p>
    <w:p w14:paraId="6906A55C" w14:textId="77777777" w:rsidR="006F0280" w:rsidRPr="00D17A1B"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Le plan d'action visera à : </w:t>
      </w:r>
    </w:p>
    <w:p w14:paraId="3F029F6D"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color w:val="000000"/>
          <w:kern w:val="0"/>
          <w:sz w:val="20"/>
          <w:szCs w:val="20"/>
          <w14:ligatures w14:val="none"/>
        </w:rPr>
      </w:pPr>
      <w:r>
        <w:rPr>
          <w:rFonts w:ascii="Montserrat" w:hAnsi="Montserrat"/>
          <w:b/>
          <w:bCs/>
          <w:color w:val="000000"/>
          <w:sz w:val="20"/>
          <w:szCs w:val="20"/>
        </w:rPr>
        <w:t>sensibiliser</w:t>
      </w:r>
      <w:r>
        <w:rPr>
          <w:rFonts w:ascii="Montserrat" w:hAnsi="Montserrat"/>
          <w:color w:val="000000"/>
          <w:sz w:val="20"/>
          <w:szCs w:val="20"/>
        </w:rPr>
        <w:t xml:space="preserve"> les autorités publiques nationales et européennes et les parties prenantes de la chaîne de valeur de la pomme de terre à la nécessité de s'attaquer à ce problème. </w:t>
      </w:r>
    </w:p>
    <w:p w14:paraId="62AAECBE"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color w:val="000000"/>
          <w:sz w:val="20"/>
          <w:szCs w:val="20"/>
        </w:rPr>
        <w:t>développer des mesures concrètes en étroite collaboration avec la Commission européenne, les États membres et les parties prenantes.</w:t>
      </w:r>
    </w:p>
    <w:p w14:paraId="52490E30"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color w:val="000000"/>
          <w:sz w:val="20"/>
          <w:szCs w:val="20"/>
        </w:rPr>
        <w:t>reconnaître la nécessité de disposer d'outils sûrs, efficaces et suffisants pour lutter contre le mildiou. La combinaison de variétés résistantes améliorées et d'une protection des cultures bien contrôlée constitue une stratégie intégrée tournée vers l'avenir, parallèlement à des stratégies anti-résistance robustes</w:t>
      </w:r>
      <w:r>
        <w:rPr>
          <w:rFonts w:ascii="Montserrat" w:hAnsi="Montserrat"/>
          <w:color w:val="000000"/>
          <w:sz w:val="20"/>
          <w:szCs w:val="20"/>
        </w:rPr>
        <w:t xml:space="preserve"> pour les fongicides afin de lutter contre les souches agressives de </w:t>
      </w:r>
      <w:r>
        <w:rPr>
          <w:rFonts w:ascii="Montserrat" w:hAnsi="Montserrat"/>
          <w:i/>
          <w:iCs/>
          <w:color w:val="000000"/>
          <w:sz w:val="20"/>
          <w:szCs w:val="20"/>
        </w:rPr>
        <w:t>Phytophthora</w:t>
      </w:r>
      <w:r>
        <w:rPr>
          <w:rFonts w:ascii="Montserrat" w:hAnsi="Montserrat"/>
          <w:color w:val="000000"/>
          <w:sz w:val="20"/>
          <w:szCs w:val="20"/>
        </w:rPr>
        <w:t xml:space="preserve">, de sorte que les agriculteurs puissent œuvrer pour garantir la sécurité alimentaire et nourrir la population mondiale croissante. </w:t>
      </w:r>
    </w:p>
    <w:p w14:paraId="57B2271F"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sz w:val="20"/>
          <w:szCs w:val="20"/>
        </w:rPr>
        <w:t>donner la priorité à la collecte d'informations cohérentes et systémiques.</w:t>
      </w:r>
      <w:r>
        <w:rPr>
          <w:rFonts w:ascii="Montserrat" w:hAnsi="Montserrat"/>
          <w:sz w:val="20"/>
          <w:szCs w:val="20"/>
        </w:rPr>
        <w:t xml:space="preserve"> La mise à </w:t>
      </w:r>
      <w:r>
        <w:rPr>
          <w:rFonts w:ascii="Montserrat" w:hAnsi="Montserrat"/>
          <w:color w:val="000000"/>
          <w:sz w:val="20"/>
          <w:szCs w:val="20"/>
        </w:rPr>
        <w:t>disposition</w:t>
      </w:r>
      <w:r>
        <w:rPr>
          <w:rFonts w:ascii="Montserrat" w:hAnsi="Montserrat"/>
          <w:sz w:val="20"/>
          <w:szCs w:val="20"/>
        </w:rPr>
        <w:t xml:space="preserve"> d'informations et de conseils aux agriculteurs de l'UE doit être une priorité pour garantir la mise en œuvre de stratégies de contrôle efficaces basées sur l'adoption des dernières découvertes en matière de R&amp;D sur la dynamique des populations de </w:t>
      </w:r>
      <w:r>
        <w:rPr>
          <w:rFonts w:ascii="Montserrat" w:hAnsi="Montserrat"/>
          <w:i/>
          <w:iCs/>
          <w:sz w:val="20"/>
          <w:szCs w:val="20"/>
        </w:rPr>
        <w:t>Phytophthora infestans</w:t>
      </w:r>
      <w:r>
        <w:rPr>
          <w:rFonts w:ascii="Montserrat" w:hAnsi="Montserrat"/>
          <w:sz w:val="20"/>
          <w:szCs w:val="20"/>
        </w:rPr>
        <w:t>. Il convient d'utiliser des variétés résistantes améliorées ainsi que des stratégies préventives et efficaces de gestion de la résistance aux fongicides.</w:t>
      </w:r>
    </w:p>
    <w:p w14:paraId="6893A860" w14:textId="77777777" w:rsidR="006F0280" w:rsidRPr="00997B74" w:rsidRDefault="006F0280" w:rsidP="006F0280">
      <w:pPr>
        <w:spacing w:after="120" w:line="240" w:lineRule="auto"/>
        <w:ind w:left="360"/>
        <w:jc w:val="both"/>
        <w:textAlignment w:val="baseline"/>
        <w:rPr>
          <w:rFonts w:ascii="Montserrat" w:eastAsia="Times New Roman" w:hAnsi="Montserrat" w:cs="Aptos"/>
          <w:color w:val="000000"/>
          <w:kern w:val="0"/>
          <w14:ligatures w14:val="none"/>
        </w:rPr>
      </w:pPr>
      <w:r>
        <w:rPr>
          <w:rFonts w:ascii="Montserrat" w:hAnsi="Montserrat"/>
          <w:b/>
          <w:bCs/>
          <w:color w:val="000000"/>
        </w:rPr>
        <w:t>Le plan d'action doit comprendre :</w:t>
      </w:r>
      <w:r>
        <w:rPr>
          <w:rFonts w:ascii="Montserrat" w:hAnsi="Montserrat"/>
          <w:color w:val="000000"/>
        </w:rPr>
        <w:t> </w:t>
      </w:r>
    </w:p>
    <w:p w14:paraId="03AF5C18" w14:textId="77777777" w:rsidR="006F0280" w:rsidRPr="00997B74" w:rsidRDefault="006F0280" w:rsidP="006F0280">
      <w:pPr>
        <w:spacing w:after="120" w:line="240" w:lineRule="auto"/>
        <w:ind w:left="360"/>
        <w:jc w:val="both"/>
        <w:textAlignment w:val="baseline"/>
        <w:rPr>
          <w:rFonts w:ascii="Montserrat" w:eastAsia="Times New Roman" w:hAnsi="Montserrat" w:cs="Aptos"/>
          <w:b/>
          <w:bCs/>
          <w:i/>
          <w:iCs/>
          <w:kern w:val="0"/>
          <w:sz w:val="22"/>
          <w:szCs w:val="22"/>
          <w14:ligatures w14:val="none"/>
        </w:rPr>
      </w:pPr>
      <w:r>
        <w:rPr>
          <w:rFonts w:ascii="Montserrat" w:hAnsi="Montserrat"/>
          <w:b/>
          <w:bCs/>
          <w:i/>
          <w:iCs/>
          <w:color w:val="000000"/>
          <w:sz w:val="22"/>
          <w:szCs w:val="22"/>
        </w:rPr>
        <w:t>Mesures sur le court terme</w:t>
      </w:r>
    </w:p>
    <w:p w14:paraId="796CC9CD" w14:textId="0BE09931" w:rsidR="006F0280" w:rsidRPr="00D17A1B" w:rsidRDefault="006F0280" w:rsidP="006F0280">
      <w:pPr>
        <w:numPr>
          <w:ilvl w:val="0"/>
          <w:numId w:val="1"/>
        </w:numPr>
        <w:spacing w:after="120" w:line="240" w:lineRule="auto"/>
        <w:ind w:hanging="357"/>
        <w:jc w:val="both"/>
        <w:textAlignment w:val="baseline"/>
        <w:rPr>
          <w:rFonts w:ascii="Montserrat" w:eastAsia="Times New Roman" w:hAnsi="Montserrat" w:cs="Aptos"/>
          <w:kern w:val="0"/>
          <w:sz w:val="20"/>
          <w:szCs w:val="20"/>
          <w14:ligatures w14:val="none"/>
        </w:rPr>
      </w:pPr>
      <w:r>
        <w:rPr>
          <w:rFonts w:ascii="Montserrat" w:hAnsi="Montserrat"/>
          <w:sz w:val="20"/>
          <w:szCs w:val="20"/>
        </w:rPr>
        <w:lastRenderedPageBreak/>
        <w:t>Créer une plateforme de dialogue avec les parties prenantes pour discuter des stratégies de lutte contre le mildiou de la pomme de terre et collaborer avec les groupes et réseaux de recherche scientifique existants, tels qu'EuroBlight</w:t>
      </w:r>
      <w:r w:rsidR="00517307" w:rsidRPr="00D17A1B">
        <w:rPr>
          <w:rStyle w:val="FootnoteReference"/>
          <w:rFonts w:ascii="Montserrat" w:eastAsia="Times New Roman" w:hAnsi="Montserrat" w:cs="Aptos"/>
          <w:kern w:val="0"/>
          <w:sz w:val="20"/>
          <w:szCs w:val="20"/>
          <w:lang w:val="en-GB" w:eastAsia="en-GB"/>
        </w:rPr>
        <w:footnoteReference w:id="1"/>
      </w:r>
      <w:r>
        <w:rPr>
          <w:rFonts w:ascii="Montserrat" w:hAnsi="Montserrat"/>
          <w:sz w:val="20"/>
          <w:szCs w:val="20"/>
        </w:rPr>
        <w:t>.</w:t>
      </w:r>
      <w:r>
        <w:rPr>
          <w:rFonts w:ascii="Montserrat" w:hAnsi="Montserrat"/>
          <w:sz w:val="20"/>
          <w:szCs w:val="20"/>
          <w:vertAlign w:val="superscript"/>
        </w:rPr>
        <w:t xml:space="preserve"> </w:t>
      </w:r>
    </w:p>
    <w:p w14:paraId="5D86A971" w14:textId="77777777" w:rsidR="006F0280" w:rsidRPr="00D17A1B" w:rsidRDefault="006F0280" w:rsidP="006F0280">
      <w:pPr>
        <w:numPr>
          <w:ilvl w:val="0"/>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Équiper les agriculteurs d’une bonne boîte à outils adaptée :</w:t>
      </w:r>
    </w:p>
    <w:p w14:paraId="121F4A84"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sz w:val="20"/>
          <w:szCs w:val="20"/>
        </w:rPr>
        <w:t xml:space="preserve">La surveillance des isolats de </w:t>
      </w:r>
      <w:r>
        <w:rPr>
          <w:rFonts w:ascii="Montserrat" w:hAnsi="Montserrat"/>
          <w:i/>
          <w:iCs/>
          <w:sz w:val="20"/>
          <w:szCs w:val="20"/>
        </w:rPr>
        <w:t xml:space="preserve">Phytophthora </w:t>
      </w:r>
      <w:r>
        <w:rPr>
          <w:rFonts w:ascii="Montserrat" w:hAnsi="Montserrat"/>
          <w:sz w:val="20"/>
          <w:szCs w:val="20"/>
        </w:rPr>
        <w:t>doit être rapide afin d'appliquer la bonne stratégie de protection des cultures.</w:t>
      </w:r>
    </w:p>
    <w:p w14:paraId="557A6419"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sz w:val="20"/>
          <w:szCs w:val="20"/>
        </w:rPr>
        <w:t>L'efficacité des fongicides existants contre les nouvelles souches de mildiou doit être testée à nouveau dans le cadre de tests pluriannuels étendus, car de nouvelles souches apparaissent chaque année.</w:t>
      </w:r>
    </w:p>
    <w:p w14:paraId="535EEB1F"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Des fongicides ayant cinq modes d'action différents doivent être mis à la disposition des agriculteurs. Le mode d'action des différents fongicides doit être clairement identifié par les agriculteurs (tableau synoptique).</w:t>
      </w:r>
    </w:p>
    <w:p w14:paraId="7B6EEE82"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Les fongicides actuellement disponibles ne doivent pas être interdits ou limités sans une analyse risques/bénéfices appropriée, et à moins qu'une alternative similaire efficace, durable et abordable, avec au moins le même niveau d'efficacité, ne soit disponible sur le marché Il convient de conserver des fongicides offrant au moins cinq modes d'action très efficaces afin de permettre aux agriculteurs de gérer efficacement la résistance aux fongicides.</w:t>
      </w:r>
    </w:p>
    <w:p w14:paraId="69C0E0CB" w14:textId="57DF27E9" w:rsidR="006F0280" w:rsidRPr="00D17A1B" w:rsidRDefault="006F0280" w:rsidP="00F611A9">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Communiquer sur la lutte intégrée contre les nuisibles (IPM) auprès des agriculteurs, y compris sur les stratégies préventives visant à empêcher la dégradation des gènes de résistance contre le mildiou, sur la base de résultats et de modèles scientifiques ainsi que des lignes directrices du FRAC</w:t>
      </w:r>
      <w:r w:rsidR="00517307" w:rsidRPr="00D17A1B">
        <w:rPr>
          <w:rStyle w:val="FootnoteReference"/>
          <w:rFonts w:ascii="Montserrat" w:eastAsia="Calibri" w:hAnsi="Montserrat" w:cs="Aptos"/>
          <w:kern w:val="0"/>
          <w:sz w:val="20"/>
          <w:szCs w:val="20"/>
          <w:lang w:val="en-US" w:eastAsia="fr-BE"/>
        </w:rPr>
        <w:footnoteReference w:id="2"/>
      </w:r>
      <w:r>
        <w:rPr>
          <w:rFonts w:ascii="Montserrat" w:hAnsi="Montserrat"/>
          <w:color w:val="000000"/>
          <w:sz w:val="20"/>
          <w:szCs w:val="20"/>
        </w:rPr>
        <w:t>.</w:t>
      </w:r>
      <w:r>
        <w:rPr>
          <w:rFonts w:ascii="Montserrat" w:hAnsi="Montserrat"/>
          <w:sz w:val="20"/>
          <w:szCs w:val="20"/>
        </w:rPr>
        <w:t xml:space="preserve"> </w:t>
      </w:r>
    </w:p>
    <w:p w14:paraId="277CB76B" w14:textId="77777777" w:rsidR="006F0280" w:rsidRPr="00D17A1B" w:rsidRDefault="006F0280" w:rsidP="006F0280">
      <w:pPr>
        <w:numPr>
          <w:ilvl w:val="1"/>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Utilisation de systèmes d'aide à la décision (DSS) efficaces et validés dans les exploitations agricoles, ainsi que des recommandations flexibles en matière de pulvérisation pour les intervalles et les doses en fonction de la gravité de la maladie.</w:t>
      </w:r>
    </w:p>
    <w:p w14:paraId="76955E62" w14:textId="77777777" w:rsidR="006F0280" w:rsidRPr="00D17A1B" w:rsidRDefault="006F0280" w:rsidP="006F0280">
      <w:pPr>
        <w:numPr>
          <w:ilvl w:val="0"/>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Détail des mesures à court terme :</w:t>
      </w:r>
    </w:p>
    <w:p w14:paraId="5B52BFA0" w14:textId="77777777" w:rsidR="006F0280" w:rsidRPr="00D17A1B" w:rsidRDefault="006F0280" w:rsidP="006F0280">
      <w:pPr>
        <w:numPr>
          <w:ilvl w:val="1"/>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Promouvoir les meilleures pratiques de gestion agricole :</w:t>
      </w:r>
    </w:p>
    <w:p w14:paraId="108E37DE" w14:textId="77777777" w:rsidR="006F0280" w:rsidRPr="00D17A1B" w:rsidRDefault="006F0280" w:rsidP="006F0280">
      <w:pPr>
        <w:numPr>
          <w:ilvl w:val="2"/>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des mesures préventives telles que la rotation des cultures et le contrôle efficace de l</w:t>
      </w:r>
      <w:r>
        <w:rPr>
          <w:rFonts w:ascii="Montserrat" w:hAnsi="Montserrat"/>
          <w:i/>
          <w:iCs/>
          <w:color w:val="000000"/>
          <w:sz w:val="20"/>
          <w:szCs w:val="20"/>
        </w:rPr>
        <w:t>'inoculum de Phytophthora</w:t>
      </w:r>
      <w:r>
        <w:rPr>
          <w:rFonts w:ascii="Montserrat" w:hAnsi="Montserrat"/>
          <w:color w:val="000000"/>
          <w:sz w:val="20"/>
          <w:szCs w:val="20"/>
        </w:rPr>
        <w:t xml:space="preserve"> (plans spontanées, tas de déchets, oospores). La première étape d'une stratégie de lutte intégrée contre le mildiou consiste à réduire les sources primaires d'inoculum, par exemple en recouvrant les décharges de plastique noir pour réduire la libération de spores sur les cultures suivantes et en contrôlant les pommes de terre spontanées.</w:t>
      </w:r>
    </w:p>
    <w:p w14:paraId="3B01F1DA" w14:textId="77777777" w:rsidR="006F0280" w:rsidRPr="00D17A1B" w:rsidRDefault="006F0280" w:rsidP="006F0280">
      <w:pPr>
        <w:numPr>
          <w:ilvl w:val="2"/>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protection des cultures : adapter le choix du fongicide utilisé au stade de la culture, à la progression de la maladie et aux conditions météorologiques et veiller à utiliser des mélanges, en alternant des fongicides ayant des modes d'action différents et utilisés à la dose maximale recommandée par le fournisseur, afin d'éviter la sélection de souches résistantes, par exemple : « The Color scheme for testing pesticide use on Phytophthora » aux Pays-Bas</w:t>
      </w:r>
      <w:r w:rsidRPr="00D17A1B">
        <w:rPr>
          <w:rFonts w:ascii="Montserrat" w:eastAsia="Calibri" w:hAnsi="Montserrat" w:cs="Aptos"/>
          <w:color w:val="0000FF"/>
          <w:kern w:val="0"/>
          <w:sz w:val="20"/>
          <w:szCs w:val="20"/>
          <w:u w:val="single"/>
          <w:vertAlign w:val="superscript"/>
          <w:lang w:val="en-US" w:eastAsia="fr-BE"/>
        </w:rPr>
        <w:footnoteReference w:id="3"/>
      </w:r>
      <w:r>
        <w:rPr>
          <w:rFonts w:ascii="Montserrat" w:hAnsi="Montserrat"/>
          <w:color w:val="000000"/>
          <w:sz w:val="20"/>
          <w:szCs w:val="20"/>
        </w:rPr>
        <w:t>.</w:t>
      </w:r>
    </w:p>
    <w:p w14:paraId="54A8067F" w14:textId="77777777" w:rsidR="006F0280" w:rsidRPr="00D17A1B" w:rsidRDefault="006F0280" w:rsidP="006F0280">
      <w:pPr>
        <w:numPr>
          <w:ilvl w:val="0"/>
          <w:numId w:val="1"/>
        </w:numPr>
        <w:spacing w:after="120" w:line="240" w:lineRule="auto"/>
        <w:ind w:hanging="357"/>
        <w:jc w:val="both"/>
        <w:textAlignment w:val="baseline"/>
        <w:rPr>
          <w:rFonts w:ascii="Montserrat" w:eastAsia="Aptos" w:hAnsi="Montserrat" w:cs="Aptos"/>
          <w:sz w:val="20"/>
          <w:szCs w:val="20"/>
          <w14:ligatures w14:val="none"/>
        </w:rPr>
      </w:pPr>
      <w:r>
        <w:rPr>
          <w:rFonts w:ascii="Montserrat" w:hAnsi="Montserrat"/>
          <w:color w:val="000000"/>
          <w:sz w:val="20"/>
          <w:szCs w:val="20"/>
        </w:rPr>
        <w:t>Développer une disponibilité harmonisée des outils et assurer la collaboration entre les autorités des États membres afin d'éviter les différences entre les solutions disponibles dans les États membres pour éviter la sélection et la propagation des souches résistantes.</w:t>
      </w:r>
    </w:p>
    <w:p w14:paraId="60E7F4A3" w14:textId="17C25270" w:rsidR="00551B94" w:rsidRPr="003C3738" w:rsidRDefault="00551B94" w:rsidP="00E667DC">
      <w:pPr>
        <w:pStyle w:val="paragraph"/>
        <w:numPr>
          <w:ilvl w:val="0"/>
          <w:numId w:val="1"/>
        </w:numPr>
        <w:spacing w:before="0" w:beforeAutospacing="0" w:after="120" w:afterAutospacing="0"/>
        <w:textAlignment w:val="baseline"/>
        <w:rPr>
          <w:rStyle w:val="normaltextrun"/>
          <w:rFonts w:ascii="Montserrat" w:eastAsiaTheme="majorEastAsia" w:hAnsi="Montserrat" w:cstheme="minorHAnsi"/>
          <w:sz w:val="20"/>
          <w:szCs w:val="20"/>
        </w:rPr>
      </w:pPr>
      <w:r>
        <w:rPr>
          <w:rStyle w:val="normaltextrun"/>
          <w:rFonts w:ascii="Montserrat" w:hAnsi="Montserrat"/>
          <w:color w:val="000000"/>
          <w:sz w:val="20"/>
          <w:szCs w:val="20"/>
        </w:rPr>
        <w:t>Souligner que les variétés de pommes de terre résistantes au mildiou sont un élément clé de toute solution. Actuellement, les variétés résistantes contiennent le plus souvent un seul gène de résistance (gène R), qui est très susceptible d'être contourné. L'objectif à long terme est de modifier différents gènes afin de réduire autant que possible le risque d’adaptation du mildiou à ces gènes de résistance et d'obtenir des variétés durables et résistantes. Par conséquent, les efforts en matière de techniques d'obtention conventionnelles avec le soutien de sélection assistée par marqueurs doivent perdurer.</w:t>
      </w:r>
    </w:p>
    <w:p w14:paraId="2E76A7C8" w14:textId="77777777" w:rsidR="006F0280" w:rsidRPr="00997B74" w:rsidRDefault="006F0280" w:rsidP="006F0280">
      <w:pPr>
        <w:numPr>
          <w:ilvl w:val="0"/>
          <w:numId w:val="1"/>
        </w:numPr>
        <w:spacing w:after="120" w:line="240" w:lineRule="auto"/>
        <w:ind w:hanging="357"/>
        <w:jc w:val="both"/>
        <w:textAlignment w:val="baseline"/>
        <w:rPr>
          <w:rFonts w:ascii="Montserrat" w:eastAsia="Times New Roman" w:hAnsi="Montserrat" w:cs="Aptos"/>
          <w:kern w:val="0"/>
          <w:sz w:val="20"/>
          <w:szCs w:val="20"/>
          <w14:ligatures w14:val="none"/>
        </w:rPr>
      </w:pPr>
      <w:r>
        <w:rPr>
          <w:rFonts w:ascii="Montserrat" w:hAnsi="Montserrat"/>
          <w:sz w:val="20"/>
          <w:szCs w:val="20"/>
        </w:rPr>
        <w:t>Sensibiliser les distributeurs et les partenaires de la chaîne de valeur à la nécessité de promouvoir la plantation des différentes variétés de pommes de terre disponibles résistantes au mildiou.</w:t>
      </w:r>
    </w:p>
    <w:p w14:paraId="190F5E8D" w14:textId="77777777" w:rsidR="006F0280" w:rsidRPr="00997B74" w:rsidRDefault="006F0280" w:rsidP="006F0280">
      <w:pPr>
        <w:spacing w:after="120" w:line="240" w:lineRule="auto"/>
        <w:ind w:left="360"/>
        <w:jc w:val="both"/>
        <w:rPr>
          <w:rFonts w:ascii="Montserrat" w:eastAsia="Calibri" w:hAnsi="Montserrat" w:cs="Aptos"/>
          <w:b/>
          <w:bCs/>
          <w:i/>
          <w:iCs/>
          <w:kern w:val="0"/>
          <w:sz w:val="22"/>
          <w:szCs w:val="22"/>
          <w14:ligatures w14:val="none"/>
        </w:rPr>
      </w:pPr>
      <w:r>
        <w:rPr>
          <w:rFonts w:ascii="Montserrat" w:hAnsi="Montserrat"/>
          <w:b/>
          <w:bCs/>
          <w:i/>
          <w:iCs/>
          <w:sz w:val="22"/>
          <w:szCs w:val="22"/>
        </w:rPr>
        <w:t>Mesures à moyen terme</w:t>
      </w:r>
    </w:p>
    <w:p w14:paraId="7DAB1837"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Aptos" w:hAnsi="Montserrat" w:cs="Times New Roman"/>
          <w:sz w:val="20"/>
          <w:szCs w:val="20"/>
          <w14:ligatures w14:val="none"/>
        </w:rPr>
      </w:pPr>
      <w:r>
        <w:rPr>
          <w:rFonts w:ascii="Montserrat" w:hAnsi="Montserrat"/>
          <w:sz w:val="20"/>
          <w:szCs w:val="20"/>
        </w:rPr>
        <w:t xml:space="preserve">Surveiller les populations de </w:t>
      </w:r>
      <w:r>
        <w:rPr>
          <w:rFonts w:ascii="Montserrat" w:hAnsi="Montserrat"/>
          <w:i/>
          <w:iCs/>
          <w:sz w:val="20"/>
          <w:szCs w:val="20"/>
        </w:rPr>
        <w:t>Phytophthora infestans</w:t>
      </w:r>
      <w:r>
        <w:rPr>
          <w:rFonts w:ascii="Montserrat" w:hAnsi="Montserrat"/>
          <w:sz w:val="20"/>
          <w:szCs w:val="20"/>
        </w:rPr>
        <w:t>.</w:t>
      </w:r>
    </w:p>
    <w:p w14:paraId="27CD03BF"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14:ligatures w14:val="none"/>
        </w:rPr>
      </w:pPr>
      <w:r>
        <w:rPr>
          <w:rFonts w:ascii="Montserrat" w:hAnsi="Montserrat"/>
          <w:sz w:val="20"/>
          <w:szCs w:val="20"/>
        </w:rPr>
        <w:t xml:space="preserve">Développer une approche coordonnée du secteur de la protection des cultures et des obtenteurs. La meilleure manière d’endiguer la propagation du mildiou consiste à combiner l'utilisation de produits </w:t>
      </w:r>
      <w:r>
        <w:rPr>
          <w:rFonts w:ascii="Montserrat" w:hAnsi="Montserrat"/>
          <w:sz w:val="20"/>
          <w:szCs w:val="20"/>
        </w:rPr>
        <w:lastRenderedPageBreak/>
        <w:t>phytosanitaires efficaces et de variétés de pommes de terre résistantes présentant différentes combinaisons de gènes de résistance.</w:t>
      </w:r>
    </w:p>
    <w:p w14:paraId="7F158356"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14:ligatures w14:val="none"/>
        </w:rPr>
      </w:pPr>
      <w:r>
        <w:rPr>
          <w:rFonts w:ascii="Montserrat" w:hAnsi="Montserrat"/>
          <w:color w:val="000000"/>
          <w:sz w:val="20"/>
          <w:szCs w:val="20"/>
        </w:rPr>
        <w:t>Développer des solutions nouvelles et efficaces pour lutter contre le mildiou sur les feuilles et sur les tubercules.</w:t>
      </w:r>
    </w:p>
    <w:p w14:paraId="775C68FC" w14:textId="77777777" w:rsidR="006F0280" w:rsidRPr="00D17A1B" w:rsidRDefault="006F0280" w:rsidP="006F0280">
      <w:pPr>
        <w:numPr>
          <w:ilvl w:val="0"/>
          <w:numId w:val="2"/>
        </w:numPr>
        <w:spacing w:after="120" w:line="240" w:lineRule="auto"/>
        <w:ind w:left="714" w:hanging="357"/>
        <w:contextualSpacing/>
        <w:jc w:val="both"/>
        <w:textAlignment w:val="baseline"/>
        <w:rPr>
          <w:rFonts w:ascii="Montserrat" w:eastAsia="Calibri" w:hAnsi="Montserrat" w:cs="Times New Roman"/>
          <w:kern w:val="0"/>
          <w:sz w:val="20"/>
          <w:szCs w:val="20"/>
          <w14:ligatures w14:val="none"/>
        </w:rPr>
      </w:pPr>
      <w:r>
        <w:rPr>
          <w:rFonts w:ascii="Montserrat" w:hAnsi="Montserrat"/>
          <w:sz w:val="20"/>
          <w:szCs w:val="20"/>
        </w:rPr>
        <w:t>Obtention</w:t>
      </w:r>
    </w:p>
    <w:p w14:paraId="2F34775F" w14:textId="522D0AEA" w:rsidR="006F0280" w:rsidRPr="00D17A1B" w:rsidRDefault="006F0280" w:rsidP="006F0280">
      <w:pPr>
        <w:numPr>
          <w:ilvl w:val="0"/>
          <w:numId w:val="3"/>
        </w:numPr>
        <w:spacing w:after="120" w:line="240" w:lineRule="auto"/>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 xml:space="preserve">Mettre en place un programme de surveillance systémique et étendu comprenant un système de retour d'information pour les obtenteurs de pommes de terre dans le cas où le mildiou touche des variétés améliorées résistantes. Une détection précoce de nouveaux types de mildiou contournant les nouvelles résistances génétiques peut contribuer à éviter des épidémies incontrôlées de mildiou. </w:t>
      </w:r>
    </w:p>
    <w:p w14:paraId="0AD439AD" w14:textId="77777777" w:rsidR="006F0280" w:rsidRPr="00D17A1B" w:rsidRDefault="006F0280" w:rsidP="006F0280">
      <w:pPr>
        <w:numPr>
          <w:ilvl w:val="0"/>
          <w:numId w:val="3"/>
        </w:numPr>
        <w:spacing w:after="120" w:line="240" w:lineRule="auto"/>
        <w:contextualSpacing/>
        <w:jc w:val="both"/>
        <w:textAlignment w:val="baseline"/>
        <w:rPr>
          <w:rFonts w:ascii="Montserrat" w:eastAsia="Calibri" w:hAnsi="Montserrat" w:cs="Aptos"/>
          <w:color w:val="000000"/>
          <w:kern w:val="0"/>
          <w:sz w:val="20"/>
          <w:szCs w:val="20"/>
          <w14:ligatures w14:val="none"/>
        </w:rPr>
      </w:pPr>
      <w:r>
        <w:rPr>
          <w:rFonts w:ascii="Montserrat" w:hAnsi="Montserrat"/>
          <w:color w:val="000000"/>
          <w:sz w:val="20"/>
          <w:szCs w:val="20"/>
        </w:rPr>
        <w:t xml:space="preserve">Seules quelques variétés sont hautement résistantes au mildiou. De nouvelles variétés de pommes de terre plus résistantes au mildiou est fondamental pour les agriculteurs. La sélection traditionnelle assistée par marqueurs ainsi que les nouvelles techniques génomiques (NTG) constituent un outil pour développer des variétés résistantes supplémentaires. </w:t>
      </w:r>
    </w:p>
    <w:p w14:paraId="0752B3E3" w14:textId="77777777" w:rsidR="00C11206" w:rsidRPr="00F06F0C" w:rsidRDefault="00C11206" w:rsidP="006F0280">
      <w:pPr>
        <w:spacing w:after="120" w:line="240" w:lineRule="auto"/>
        <w:ind w:left="360"/>
        <w:jc w:val="both"/>
        <w:textAlignment w:val="baseline"/>
        <w:rPr>
          <w:rFonts w:ascii="Montserrat" w:eastAsia="Times New Roman" w:hAnsi="Montserrat" w:cs="Aptos"/>
          <w:b/>
          <w:bCs/>
          <w:color w:val="000000"/>
          <w:kern w:val="0"/>
          <w:sz w:val="20"/>
          <w:szCs w:val="20"/>
          <w:lang w:val="fr-BE" w:eastAsia="en-GB"/>
          <w14:ligatures w14:val="none"/>
        </w:rPr>
      </w:pPr>
    </w:p>
    <w:p w14:paraId="0AB5643D" w14:textId="4DDBE0FA" w:rsidR="006F0280" w:rsidRPr="00D17A1B" w:rsidRDefault="006F0280" w:rsidP="006F0280">
      <w:pPr>
        <w:spacing w:after="120" w:line="240" w:lineRule="auto"/>
        <w:ind w:left="360"/>
        <w:jc w:val="both"/>
        <w:textAlignment w:val="baseline"/>
        <w:rPr>
          <w:rFonts w:ascii="Montserrat" w:eastAsia="Aptos" w:hAnsi="Montserrat" w:cs="Aptos"/>
          <w:color w:val="000000"/>
          <w14:ligatures w14:val="none"/>
        </w:rPr>
      </w:pPr>
      <w:r>
        <w:rPr>
          <w:rFonts w:ascii="Montserrat" w:hAnsi="Montserrat"/>
          <w:b/>
          <w:bCs/>
          <w:color w:val="000000"/>
        </w:rPr>
        <w:t xml:space="preserve">Engagements des parties prenantes </w:t>
      </w:r>
    </w:p>
    <w:p w14:paraId="6BD32916"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Partenariat - Impliquer les agriculteurs, les scientifiques et l'industrie avec l'UE et les autorités compétentes nationales. </w:t>
      </w:r>
    </w:p>
    <w:p w14:paraId="1EDC2249"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color w:val="000000"/>
          <w:sz w:val="20"/>
          <w:szCs w:val="20"/>
        </w:rPr>
        <w:t>Veiller à ce que les agriculteurs de l'UE continuent de bénéficier de produits de protection des cultures et de biocontrôle conventionnels efficaces, de systèmes d'aide à la décision et de nouvelles variétés de pommes de terre améliorées.</w:t>
      </w:r>
    </w:p>
    <w:p w14:paraId="7E1C1691"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Fournir des informations à toutes les parties prenantes sur le cycle de </w:t>
      </w:r>
      <w:r>
        <w:rPr>
          <w:rFonts w:ascii="Montserrat" w:hAnsi="Montserrat"/>
          <w:i/>
          <w:iCs/>
          <w:sz w:val="20"/>
          <w:szCs w:val="20"/>
        </w:rPr>
        <w:t>Phytophthora infestans</w:t>
      </w:r>
      <w:r>
        <w:rPr>
          <w:rFonts w:ascii="Montserrat" w:hAnsi="Montserrat"/>
          <w:sz w:val="20"/>
          <w:szCs w:val="20"/>
        </w:rPr>
        <w:t xml:space="preserve"> et sa sensibilité aux différents modes d'action des fongicides et des variétés améliorées résistantes au mildiou (gènes R/résistance verticale).</w:t>
      </w:r>
    </w:p>
    <w:p w14:paraId="169AC6E4" w14:textId="548F1A6C" w:rsidR="006F0280"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Collaborer au sein de la chaîne d'approvisionnement afin de transmettre des messages cohérents sur la gestion intégrée du </w:t>
      </w:r>
      <w:r>
        <w:rPr>
          <w:rFonts w:ascii="Montserrat" w:hAnsi="Montserrat"/>
          <w:i/>
          <w:iCs/>
          <w:sz w:val="20"/>
          <w:szCs w:val="20"/>
        </w:rPr>
        <w:t xml:space="preserve">Phytophthora </w:t>
      </w:r>
      <w:r>
        <w:rPr>
          <w:rFonts w:ascii="Montserrat" w:hAnsi="Montserrat"/>
          <w:sz w:val="20"/>
          <w:szCs w:val="20"/>
        </w:rPr>
        <w:t>aux producteurs et aux conseillers.</w:t>
      </w:r>
    </w:p>
    <w:p w14:paraId="74C97FD8" w14:textId="77777777" w:rsidR="002430D8" w:rsidRPr="00F06F0C" w:rsidRDefault="002430D8" w:rsidP="002430D8">
      <w:pPr>
        <w:spacing w:after="120" w:line="240" w:lineRule="auto"/>
        <w:ind w:left="360"/>
        <w:jc w:val="both"/>
        <w:textAlignment w:val="baseline"/>
        <w:rPr>
          <w:rFonts w:ascii="Montserrat" w:eastAsia="Times New Roman" w:hAnsi="Montserrat" w:cs="Aptos"/>
          <w:kern w:val="0"/>
          <w:sz w:val="20"/>
          <w:szCs w:val="20"/>
          <w:lang w:val="fr-BE" w:eastAsia="en-GB"/>
          <w14:ligatures w14:val="none"/>
        </w:rPr>
      </w:pPr>
    </w:p>
    <w:p w14:paraId="4ACCE960" w14:textId="77777777" w:rsidR="006F0280" w:rsidRPr="00D17A1B" w:rsidRDefault="006F0280" w:rsidP="006F0280">
      <w:pPr>
        <w:spacing w:after="120" w:line="240" w:lineRule="auto"/>
        <w:ind w:left="360"/>
        <w:jc w:val="both"/>
        <w:textAlignment w:val="baseline"/>
        <w:rPr>
          <w:rFonts w:ascii="Montserrat" w:eastAsia="Times New Roman" w:hAnsi="Montserrat" w:cs="Aptos"/>
          <w:color w:val="000000"/>
          <w:kern w:val="0"/>
          <w14:ligatures w14:val="none"/>
        </w:rPr>
      </w:pPr>
      <w:r>
        <w:rPr>
          <w:rFonts w:ascii="Montserrat" w:hAnsi="Montserrat"/>
          <w:b/>
          <w:bCs/>
          <w:color w:val="000000"/>
        </w:rPr>
        <w:t>La Commission européenne et les États membres doivent prendre des mesures :</w:t>
      </w:r>
    </w:p>
    <w:p w14:paraId="3221EBD5"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Communiquer sur l'importance et les avantages des pommes de terre dans un régime alimentaire équilibré, afin de sécuriser la production de pommes de terre de l'UE en luttant contre le mildiou de la pomme de terre, y compris par la mise en place d'un système d'alerte précoce pour la propagation du mildiou et de la résistance aux fongicides.</w:t>
      </w:r>
    </w:p>
    <w:p w14:paraId="5A6109B1"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Soutenir la disponibilité continue des fongicides existants contre le mildiou et tenir compte de leurs avantages lors de l'examen de leur autorisation.</w:t>
      </w:r>
    </w:p>
    <w:p w14:paraId="57BDB7CC"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Maintenir les solutions conventionnelles dans le cadre de la recherche globale de solutions alternatives.</w:t>
      </w:r>
    </w:p>
    <w:p w14:paraId="2440E78D"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Soutenir la poursuite du développement de techniques d’obtention visant à améliorer la résistance aux maladies, tant pour les variétés conventionnelles que pour les variétés non conventionnelles.</w:t>
      </w:r>
    </w:p>
    <w:p w14:paraId="68FFC8EA"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Soutien des autorités pour contribuer à réduire l’écart entre les chercheurs et les agriculteurs et à trouver des solutions partagées à grande échelle qui seraient finalement perçues comme de nouvelles opportunités réalisables d’amélioration de la productivité. Mener le débat politique sur les NTG et faire aboutir le dossier rapidement en gardant le regard tourné vers l’avenir.</w:t>
      </w:r>
    </w:p>
    <w:p w14:paraId="37CB97CB"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Mettre en place une procédure d'approbation plus rapide et moins lourde pour des solutions phytosanitaires efficaces. </w:t>
      </w:r>
    </w:p>
    <w:p w14:paraId="188B17F9"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Débloquer des fonds pour des projets de recherche fondamentale et agronomique et des transferts de connaissances pour lutter contre le mildiou de la pomme de terre. Mettre en place un projet du groupe opérationnel EIP-AGRI sur le mildiou de la pomme de terre avec des actions concrètes pour partager les connaissances et les résultats de la recherche dans chaque État membre concerné</w:t>
      </w:r>
    </w:p>
    <w:p w14:paraId="2B235B0A"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Times New Roman"/>
          <w:kern w:val="0"/>
          <w:sz w:val="20"/>
          <w:szCs w:val="20"/>
          <w14:ligatures w14:val="none"/>
        </w:rPr>
      </w:pPr>
      <w:r>
        <w:rPr>
          <w:rFonts w:ascii="Montserrat" w:hAnsi="Montserrat"/>
          <w:sz w:val="20"/>
          <w:szCs w:val="20"/>
          <w:shd w:val="clear" w:color="auto" w:fill="FFFFFF"/>
        </w:rPr>
        <w:t>Élaborer des stratégies efficaces et personnalisées de lutte intégrée contre les nuisibles.</w:t>
      </w:r>
    </w:p>
    <w:p w14:paraId="06684F3A" w14:textId="77777777" w:rsidR="006F0280"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lastRenderedPageBreak/>
        <w:t>Promouvoir des solutions chimiques à faible incidence environnementale dans le cadre de la recherche de solutions alternatives.</w:t>
      </w:r>
    </w:p>
    <w:p w14:paraId="6B850120" w14:textId="77777777" w:rsidR="002430D8" w:rsidRPr="00F06F0C" w:rsidRDefault="002430D8" w:rsidP="002430D8">
      <w:pPr>
        <w:spacing w:after="120" w:line="240" w:lineRule="auto"/>
        <w:jc w:val="both"/>
        <w:textAlignment w:val="baseline"/>
        <w:rPr>
          <w:rFonts w:ascii="Montserrat" w:eastAsia="Times New Roman" w:hAnsi="Montserrat" w:cs="Aptos"/>
          <w:kern w:val="0"/>
          <w:sz w:val="20"/>
          <w:szCs w:val="20"/>
          <w:lang w:val="fr-BE" w:eastAsia="en-GB"/>
          <w14:ligatures w14:val="none"/>
        </w:rPr>
      </w:pPr>
    </w:p>
    <w:p w14:paraId="6AB40736" w14:textId="77777777" w:rsidR="006F0280" w:rsidRPr="00F35249" w:rsidRDefault="006F0280" w:rsidP="006F0280">
      <w:pPr>
        <w:spacing w:after="120" w:line="240" w:lineRule="auto"/>
        <w:textAlignment w:val="baseline"/>
        <w:rPr>
          <w:rFonts w:ascii="Montserrat" w:eastAsia="Times New Roman" w:hAnsi="Montserrat" w:cs="Aptos"/>
          <w:b/>
          <w:bCs/>
          <w:kern w:val="0"/>
          <w14:ligatures w14:val="none"/>
        </w:rPr>
      </w:pPr>
      <w:r>
        <w:rPr>
          <w:rFonts w:ascii="Montserrat" w:hAnsi="Montserrat"/>
          <w:b/>
          <w:bCs/>
        </w:rPr>
        <w:t>Contexte :</w:t>
      </w:r>
    </w:p>
    <w:p w14:paraId="178583BA" w14:textId="576CE3C4" w:rsidR="006F0280" w:rsidRPr="00F35249"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333333"/>
          <w:sz w:val="20"/>
          <w:szCs w:val="20"/>
          <w:shd w:val="clear" w:color="auto" w:fill="FFFFFF"/>
        </w:rPr>
        <w:t xml:space="preserve">Les pommes de terre sont cultivées sur 1,7 % des surfaces arables de l’UE, soit 1,7 millions d’hectares. L’Union européenne est un exportateur net de pommes de terre, principalement de plants de pommes de terre, avec une valeur de 509 millions d’euros (2020). </w:t>
      </w:r>
      <w:r>
        <w:rPr>
          <w:rFonts w:ascii="Montserrat" w:hAnsi="Montserrat"/>
          <w:color w:val="333333"/>
          <w:sz w:val="20"/>
          <w:szCs w:val="20"/>
        </w:rPr>
        <w:t xml:space="preserve">Outre la consommation de pommes de terre fraîches, </w:t>
      </w:r>
      <w:r>
        <w:rPr>
          <w:rFonts w:ascii="Montserrat" w:hAnsi="Montserrat"/>
          <w:color w:val="333333"/>
          <w:sz w:val="20"/>
          <w:szCs w:val="20"/>
          <w:shd w:val="clear" w:color="auto" w:fill="FFFFFF"/>
        </w:rPr>
        <w:t>les pommes de terre sont transformées, principalement en quatre types de produits : les pommes de terre surgelées, les pommes de terre séchées, les pommes de terre préparées ou conservées et la fécule de pomme de terre. La valeur totale de la production de pommes de terre transformées dans l’UE a atteint 9,1 milliards d’euros en 2019, soit 1,6 % de la valeur de la production d’ensemble de l'industrie alimentaire européenne. Les frites surgelées et les chips sont les produits transformés représentant le plus de valeur de production. L’UE est également un exportateur net de pommes de terre transformées, pour une valeur de 3 milliards d’euros en 2022.</w:t>
      </w:r>
    </w:p>
    <w:p w14:paraId="781B39A1" w14:textId="33C5D3F1" w:rsidR="006F0280" w:rsidRPr="00F35249" w:rsidRDefault="006F0280" w:rsidP="006F0280">
      <w:pPr>
        <w:spacing w:after="120" w:line="240" w:lineRule="auto"/>
        <w:ind w:left="360"/>
        <w:jc w:val="both"/>
        <w:textAlignment w:val="baseline"/>
        <w:rPr>
          <w:rFonts w:ascii="Montserrat" w:eastAsia="Times New Roman" w:hAnsi="Montserrat" w:cs="Arial"/>
          <w:color w:val="333333"/>
          <w:kern w:val="0"/>
          <w:sz w:val="20"/>
          <w:szCs w:val="20"/>
          <w:shd w:val="clear" w:color="auto" w:fill="FFFFFF"/>
          <w14:ligatures w14:val="none"/>
        </w:rPr>
      </w:pPr>
      <w:r>
        <w:rPr>
          <w:rFonts w:ascii="Montserrat" w:hAnsi="Montserrat"/>
          <w:color w:val="333333"/>
          <w:sz w:val="20"/>
          <w:szCs w:val="20"/>
          <w:shd w:val="clear" w:color="auto" w:fill="FFFFFF"/>
        </w:rPr>
        <w:t>Près de 1,5 millions d’exploitations agricoles dans l’UE cultivent des pommes de terre. La valeur des pommes de terre brutes (y compris les plants de pommes de terre) représente à peu près 3 % de la production agricole totale de l’UE. Pour de nombreuses exploitations agricoles, les pommes de terre constituent une culture d’assolement utilisée en rotation avec les céréales. (Source : Eurostat</w:t>
      </w:r>
      <w:r w:rsidR="005E5394">
        <w:rPr>
          <w:rStyle w:val="FootnoteReference"/>
          <w:rFonts w:ascii="Montserrat" w:eastAsia="Times New Roman" w:hAnsi="Montserrat" w:cs="Arial"/>
          <w:color w:val="333333"/>
          <w:kern w:val="0"/>
          <w:sz w:val="20"/>
          <w:szCs w:val="20"/>
          <w:shd w:val="clear" w:color="auto" w:fill="FFFFFF"/>
          <w:lang w:val="en-GB" w:eastAsia="en-GB"/>
        </w:rPr>
        <w:footnoteReference w:id="4"/>
      </w:r>
      <w:r>
        <w:rPr>
          <w:rFonts w:ascii="Montserrat" w:hAnsi="Montserrat"/>
          <w:color w:val="333333"/>
          <w:sz w:val="20"/>
          <w:szCs w:val="20"/>
          <w:shd w:val="clear" w:color="auto" w:fill="FFFFFF"/>
        </w:rPr>
        <w:t>)</w:t>
      </w:r>
    </w:p>
    <w:p w14:paraId="477EC522" w14:textId="77777777" w:rsidR="006F0280" w:rsidRPr="006F0280" w:rsidRDefault="006F0280" w:rsidP="006F0280">
      <w:pPr>
        <w:spacing w:after="120" w:line="240" w:lineRule="auto"/>
        <w:jc w:val="center"/>
        <w:rPr>
          <w:rFonts w:ascii="Montserrat" w:eastAsia="Calibri" w:hAnsi="Montserrat" w:cs="Calibri"/>
          <w:sz w:val="22"/>
          <w:szCs w:val="22"/>
          <w14:ligatures w14:val="none"/>
        </w:rPr>
      </w:pPr>
      <w:r>
        <w:rPr>
          <w:rFonts w:ascii="Montserrat" w:hAnsi="Montserrat"/>
          <w:sz w:val="22"/>
          <w:szCs w:val="22"/>
        </w:rPr>
        <w:t>------------------</w:t>
      </w:r>
    </w:p>
    <w:sectPr w:rsidR="006F0280" w:rsidRPr="006F0280" w:rsidSect="00726C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94BE" w14:textId="77777777" w:rsidR="006F0280" w:rsidRDefault="006F0280" w:rsidP="006F0280">
      <w:pPr>
        <w:spacing w:after="0" w:line="240" w:lineRule="auto"/>
      </w:pPr>
      <w:r>
        <w:separator/>
      </w:r>
    </w:p>
  </w:endnote>
  <w:endnote w:type="continuationSeparator" w:id="0">
    <w:p w14:paraId="0DA79E0D" w14:textId="77777777" w:rsidR="006F0280" w:rsidRDefault="006F0280" w:rsidP="006F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773C7" w14:textId="77777777" w:rsidR="006F0280" w:rsidRDefault="006F0280" w:rsidP="006F0280">
      <w:pPr>
        <w:spacing w:after="0" w:line="240" w:lineRule="auto"/>
      </w:pPr>
      <w:r>
        <w:separator/>
      </w:r>
    </w:p>
  </w:footnote>
  <w:footnote w:type="continuationSeparator" w:id="0">
    <w:p w14:paraId="0BE7DB51" w14:textId="77777777" w:rsidR="006F0280" w:rsidRDefault="006F0280" w:rsidP="006F0280">
      <w:pPr>
        <w:spacing w:after="0" w:line="240" w:lineRule="auto"/>
      </w:pPr>
      <w:r>
        <w:continuationSeparator/>
      </w:r>
    </w:p>
  </w:footnote>
  <w:footnote w:id="1">
    <w:p w14:paraId="527A861D" w14:textId="0028C1EC" w:rsidR="00517307" w:rsidRPr="00517307" w:rsidRDefault="00517307">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1" w:history="1">
        <w:r>
          <w:rPr>
            <w:rStyle w:val="Hyperlink"/>
            <w:rFonts w:ascii="Montserrat" w:hAnsi="Montserrat"/>
            <w:sz w:val="18"/>
            <w:szCs w:val="18"/>
          </w:rPr>
          <w:t>https://agro.au.dk/forskning/internationale-platforme/euroblight/about-euroblight</w:t>
        </w:r>
      </w:hyperlink>
    </w:p>
  </w:footnote>
  <w:footnote w:id="2">
    <w:p w14:paraId="7F901BCC" w14:textId="58721005" w:rsidR="00517307" w:rsidRPr="00517307" w:rsidRDefault="00517307">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2" w:history="1">
        <w:r>
          <w:rPr>
            <w:rStyle w:val="Hyperlink"/>
            <w:rFonts w:ascii="Montserrat" w:hAnsi="Montserrat"/>
            <w:sz w:val="18"/>
            <w:szCs w:val="18"/>
          </w:rPr>
          <w:t>https://www.frac.info/</w:t>
        </w:r>
      </w:hyperlink>
    </w:p>
  </w:footnote>
  <w:footnote w:id="3">
    <w:p w14:paraId="43284707" w14:textId="77777777" w:rsidR="006F0280" w:rsidRPr="00F15F08" w:rsidRDefault="006F0280" w:rsidP="006F0280">
      <w:pPr>
        <w:pStyle w:val="FootnoteText"/>
      </w:pPr>
      <w:r>
        <w:rPr>
          <w:rStyle w:val="FootnoteReference"/>
          <w:rFonts w:ascii="Montserrat" w:hAnsi="Montserrat"/>
          <w:sz w:val="18"/>
          <w:szCs w:val="18"/>
        </w:rPr>
        <w:footnoteRef/>
      </w:r>
      <w:r>
        <w:rPr>
          <w:rFonts w:ascii="Montserrat" w:hAnsi="Montserrat"/>
          <w:sz w:val="18"/>
          <w:szCs w:val="18"/>
        </w:rPr>
        <w:t xml:space="preserve"> </w:t>
      </w:r>
      <w:hyperlink r:id="rId3" w:history="1">
        <w:r>
          <w:rPr>
            <w:rStyle w:val="Hyperlink"/>
            <w:rFonts w:ascii="Montserrat" w:hAnsi="Montserrat"/>
            <w:sz w:val="18"/>
            <w:szCs w:val="18"/>
          </w:rPr>
          <w:t>https://www.bo-akkerbouw.nl/nieuws/kleurenschema-voor-toets-middelengebruik-phytophthora</w:t>
        </w:r>
      </w:hyperlink>
      <w:r>
        <w:rPr>
          <w:rStyle w:val="Hyperlink"/>
          <w:rFonts w:ascii="Montserrat" w:hAnsi="Montserrat"/>
          <w:sz w:val="18"/>
          <w:szCs w:val="18"/>
        </w:rPr>
        <w:t>),</w:t>
      </w:r>
    </w:p>
  </w:footnote>
  <w:footnote w:id="4">
    <w:p w14:paraId="19DB48F6" w14:textId="0F8E474E" w:rsidR="005E5394" w:rsidRPr="007337E9" w:rsidRDefault="005E5394">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4" w:anchor="Values_and_prices" w:history="1">
        <w:r>
          <w:rPr>
            <w:rStyle w:val="Hyperlink"/>
            <w:rFonts w:ascii="Montserrat" w:hAnsi="Montserrat"/>
            <w:sz w:val="18"/>
            <w:szCs w:val="18"/>
          </w:rPr>
          <w:t>https://ec.europa.eu/eurostat/statistics-explained/index.php?title=The_EU_potato_sector_-_statistics_on_production,_prices_and_trade#Values_and_prices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E25C9"/>
    <w:multiLevelType w:val="hybridMultilevel"/>
    <w:tmpl w:val="5518E46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046D92"/>
    <w:multiLevelType w:val="hybridMultilevel"/>
    <w:tmpl w:val="790E89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BC93CAF"/>
    <w:multiLevelType w:val="hybridMultilevel"/>
    <w:tmpl w:val="B1548C3C"/>
    <w:lvl w:ilvl="0" w:tplc="2000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3EED4E7B"/>
    <w:multiLevelType w:val="hybridMultilevel"/>
    <w:tmpl w:val="2D78A7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59C2DD4"/>
    <w:multiLevelType w:val="hybridMultilevel"/>
    <w:tmpl w:val="991A106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6987BFA"/>
    <w:multiLevelType w:val="hybridMultilevel"/>
    <w:tmpl w:val="E90ADD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80"/>
    <w:rsid w:val="001E097B"/>
    <w:rsid w:val="002430D8"/>
    <w:rsid w:val="00253AC1"/>
    <w:rsid w:val="00391AC4"/>
    <w:rsid w:val="003A011E"/>
    <w:rsid w:val="003C3738"/>
    <w:rsid w:val="003C5DCC"/>
    <w:rsid w:val="0050259F"/>
    <w:rsid w:val="00511CC1"/>
    <w:rsid w:val="00517307"/>
    <w:rsid w:val="00546CC6"/>
    <w:rsid w:val="00551B94"/>
    <w:rsid w:val="005E5394"/>
    <w:rsid w:val="0063467F"/>
    <w:rsid w:val="006D3C08"/>
    <w:rsid w:val="006D4C1A"/>
    <w:rsid w:val="006F0280"/>
    <w:rsid w:val="00726C65"/>
    <w:rsid w:val="007337E9"/>
    <w:rsid w:val="00757D5A"/>
    <w:rsid w:val="007B1ABE"/>
    <w:rsid w:val="008179F8"/>
    <w:rsid w:val="00840D8E"/>
    <w:rsid w:val="008A538C"/>
    <w:rsid w:val="0093750D"/>
    <w:rsid w:val="00997B74"/>
    <w:rsid w:val="009F73F8"/>
    <w:rsid w:val="00A14950"/>
    <w:rsid w:val="00A45E4F"/>
    <w:rsid w:val="00C11206"/>
    <w:rsid w:val="00C44F2D"/>
    <w:rsid w:val="00CA6855"/>
    <w:rsid w:val="00CC066A"/>
    <w:rsid w:val="00D17A1B"/>
    <w:rsid w:val="00D67AA1"/>
    <w:rsid w:val="00D75423"/>
    <w:rsid w:val="00DB17DB"/>
    <w:rsid w:val="00E71ABF"/>
    <w:rsid w:val="00E80F96"/>
    <w:rsid w:val="00EB5794"/>
    <w:rsid w:val="00ED19F4"/>
    <w:rsid w:val="00F06F0C"/>
    <w:rsid w:val="00F30E4E"/>
    <w:rsid w:val="00F35249"/>
    <w:rsid w:val="00F611A9"/>
    <w:rsid w:val="00FA34E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E9"/>
  <w15:chartTrackingRefBased/>
  <w15:docId w15:val="{DA46D3B3-B9ED-400C-BCBD-A80B7F9D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80"/>
    <w:rPr>
      <w:rFonts w:eastAsiaTheme="majorEastAsia" w:cstheme="majorBidi"/>
      <w:color w:val="272727" w:themeColor="text1" w:themeTint="D8"/>
    </w:rPr>
  </w:style>
  <w:style w:type="paragraph" w:styleId="Title">
    <w:name w:val="Title"/>
    <w:basedOn w:val="Normal"/>
    <w:next w:val="Normal"/>
    <w:link w:val="TitleChar"/>
    <w:uiPriority w:val="10"/>
    <w:qFormat/>
    <w:rsid w:val="006F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80"/>
    <w:pPr>
      <w:spacing w:before="160"/>
      <w:jc w:val="center"/>
    </w:pPr>
    <w:rPr>
      <w:i/>
      <w:iCs/>
      <w:color w:val="404040" w:themeColor="text1" w:themeTint="BF"/>
    </w:rPr>
  </w:style>
  <w:style w:type="character" w:customStyle="1" w:styleId="QuoteChar">
    <w:name w:val="Quote Char"/>
    <w:basedOn w:val="DefaultParagraphFont"/>
    <w:link w:val="Quote"/>
    <w:uiPriority w:val="29"/>
    <w:rsid w:val="006F0280"/>
    <w:rPr>
      <w:i/>
      <w:iCs/>
      <w:color w:val="404040" w:themeColor="text1" w:themeTint="BF"/>
    </w:rPr>
  </w:style>
  <w:style w:type="paragraph" w:styleId="ListParagraph">
    <w:name w:val="List Paragraph"/>
    <w:basedOn w:val="Normal"/>
    <w:uiPriority w:val="34"/>
    <w:qFormat/>
    <w:rsid w:val="006F0280"/>
    <w:pPr>
      <w:ind w:left="720"/>
      <w:contextualSpacing/>
    </w:pPr>
  </w:style>
  <w:style w:type="character" w:styleId="IntenseEmphasis">
    <w:name w:val="Intense Emphasis"/>
    <w:basedOn w:val="DefaultParagraphFont"/>
    <w:uiPriority w:val="21"/>
    <w:qFormat/>
    <w:rsid w:val="006F0280"/>
    <w:rPr>
      <w:i/>
      <w:iCs/>
      <w:color w:val="0F4761" w:themeColor="accent1" w:themeShade="BF"/>
    </w:rPr>
  </w:style>
  <w:style w:type="paragraph" w:styleId="IntenseQuote">
    <w:name w:val="Intense Quote"/>
    <w:basedOn w:val="Normal"/>
    <w:next w:val="Normal"/>
    <w:link w:val="IntenseQuoteChar"/>
    <w:uiPriority w:val="30"/>
    <w:qFormat/>
    <w:rsid w:val="006F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280"/>
    <w:rPr>
      <w:i/>
      <w:iCs/>
      <w:color w:val="0F4761" w:themeColor="accent1" w:themeShade="BF"/>
    </w:rPr>
  </w:style>
  <w:style w:type="character" w:styleId="IntenseReference">
    <w:name w:val="Intense Reference"/>
    <w:basedOn w:val="DefaultParagraphFont"/>
    <w:uiPriority w:val="32"/>
    <w:qFormat/>
    <w:rsid w:val="006F0280"/>
    <w:rPr>
      <w:b/>
      <w:bCs/>
      <w:smallCaps/>
      <w:color w:val="0F4761" w:themeColor="accent1" w:themeShade="BF"/>
      <w:spacing w:val="5"/>
    </w:rPr>
  </w:style>
  <w:style w:type="paragraph" w:styleId="FootnoteText">
    <w:name w:val="footnote text"/>
    <w:basedOn w:val="Normal"/>
    <w:link w:val="FootnoteTextChar"/>
    <w:uiPriority w:val="99"/>
    <w:semiHidden/>
    <w:unhideWhenUsed/>
    <w:rsid w:val="006F0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280"/>
    <w:rPr>
      <w:sz w:val="20"/>
      <w:szCs w:val="20"/>
    </w:rPr>
  </w:style>
  <w:style w:type="character" w:styleId="FootnoteReference">
    <w:name w:val="footnote reference"/>
    <w:rsid w:val="006F0280"/>
    <w:rPr>
      <w:vertAlign w:val="superscript"/>
    </w:rPr>
  </w:style>
  <w:style w:type="character" w:styleId="Hyperlink">
    <w:name w:val="Hyperlink"/>
    <w:rsid w:val="006F0280"/>
    <w:rPr>
      <w:color w:val="0563C1"/>
      <w:u w:val="single"/>
    </w:rPr>
  </w:style>
  <w:style w:type="paragraph" w:customStyle="1" w:styleId="paragraph">
    <w:name w:val="paragraph"/>
    <w:basedOn w:val="Normal"/>
    <w:rsid w:val="00551B9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51B94"/>
  </w:style>
  <w:style w:type="table" w:styleId="TableGrid">
    <w:name w:val="Table Grid"/>
    <w:basedOn w:val="TableNormal"/>
    <w:uiPriority w:val="39"/>
    <w:rsid w:val="0072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17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bo-akkerbouw.nl/nieuws/kleurenschema-voor-toets-middelengebruik-phytophthora" TargetMode="External"/><Relationship Id="rId2" Type="http://schemas.openxmlformats.org/officeDocument/2006/relationships/hyperlink" Target="https://www.frac.info/" TargetMode="External"/><Relationship Id="rId1" Type="http://schemas.openxmlformats.org/officeDocument/2006/relationships/hyperlink" Target="https://agro.au.dk/forskning/internationale-platforme/euroblight/about-euroblight" TargetMode="External"/><Relationship Id="rId4" Type="http://schemas.openxmlformats.org/officeDocument/2006/relationships/hyperlink" Target="https://ec.europa.eu/eurostat/statistics-explained/index.php?title=The_EU_potato_sector_-_statistics_on_production,_prices_and_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C31F-61E6-49B1-8CD6-86EF4385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2181</Words>
  <Characters>12437</Characters>
  <Application>Microsoft Office Word</Application>
  <DocSecurity>0</DocSecurity>
  <Lines>103</Lines>
  <Paragraphs>29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Dejonckheere</dc:creator>
  <cp:keywords/>
  <dc:description/>
  <cp:lastModifiedBy>Hugo Magrit</cp:lastModifiedBy>
  <cp:revision>18</cp:revision>
  <dcterms:created xsi:type="dcterms:W3CDTF">2024-05-28T09:38:00Z</dcterms:created>
  <dcterms:modified xsi:type="dcterms:W3CDTF">2024-06-07T14:19:00Z</dcterms:modified>
</cp:coreProperties>
</file>

<file path=docProps/custom.xml><?xml version="1.0" encoding="utf-8"?>
<op:Properties xmlns:vt="http://schemas.openxmlformats.org/officeDocument/2006/docPropsVTypes" xmlns:op="http://schemas.openxmlformats.org/officeDocument/2006/custom-properties"/>
</file>