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137"/>
      </w:tblGrid>
      <w:tr w:rsidR="00A45E4F" w14:paraId="1D502D8F" w14:textId="77777777" w:rsidTr="006D3C08">
        <w:tc>
          <w:tcPr>
            <w:tcW w:w="4527" w:type="dxa"/>
          </w:tcPr>
          <w:p w14:paraId="6A3A5632" w14:textId="752CB047" w:rsidR="00A45E4F" w:rsidRDefault="00A45E4F" w:rsidP="00A45E4F">
            <w:pPr>
              <w:spacing w:before="120"/>
              <w:rPr>
                <w:rFonts w:ascii="Calibri" w:eastAsia="Calibri" w:hAnsi="Calibri" w:cs="Times New Roman"/>
                <w:noProof/>
                <w:kern w:val="0"/>
                <w:sz w:val="22"/>
                <w:szCs w:val="22"/>
                <w14:ligatures w14:val="none"/>
              </w:rPr>
            </w:pPr>
            <w:r>
              <w:rPr>
                <w:rFonts w:ascii="Calibri" w:hAnsi="Calibri"/>
                <w:noProof/>
                <w:sz w:val="22"/>
                <w:szCs w:val="22"/>
              </w:rPr>
              <w:drawing>
                <wp:inline distT="0" distB="0" distL="0" distR="0" wp14:anchorId="077A5BFF" wp14:editId="08E931EB">
                  <wp:extent cx="2914015" cy="822960"/>
                  <wp:effectExtent l="0" t="0" r="635" b="0"/>
                  <wp:docPr id="76975776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015" cy="822960"/>
                          </a:xfrm>
                          <a:prstGeom prst="rect">
                            <a:avLst/>
                          </a:prstGeom>
                          <a:noFill/>
                        </pic:spPr>
                      </pic:pic>
                    </a:graphicData>
                  </a:graphic>
                </wp:inline>
              </w:drawing>
            </w:r>
          </w:p>
        </w:tc>
        <w:tc>
          <w:tcPr>
            <w:tcW w:w="4132" w:type="dxa"/>
          </w:tcPr>
          <w:p w14:paraId="0760543F" w14:textId="77777777" w:rsidR="00A45E4F" w:rsidRPr="00A45E4F" w:rsidRDefault="00A45E4F" w:rsidP="00A45E4F">
            <w:pPr>
              <w:pBdr>
                <w:bar w:val="single" w:sz="4" w:color="auto"/>
              </w:pBdr>
              <w:spacing w:before="120"/>
              <w:jc w:val="center"/>
              <w:rPr>
                <w:rFonts w:ascii="Calibri" w:eastAsia="Calibri" w:hAnsi="Calibri" w:cs="Times New Roman"/>
                <w:noProof/>
                <w:kern w:val="0"/>
                <w:sz w:val="22"/>
                <w:szCs w:val="22"/>
                <w14:ligatures w14:val="none"/>
              </w:rPr>
            </w:pPr>
            <w:r>
              <w:rPr>
                <w:rFonts w:ascii="Calibri" w:hAnsi="Calibri"/>
                <w:noProof/>
                <w:sz w:val="22"/>
                <w:szCs w:val="22"/>
              </w:rPr>
              <w:drawing>
                <wp:inline distT="0" distB="0" distL="0" distR="0" wp14:anchorId="158C987B" wp14:editId="4040B9B0">
                  <wp:extent cx="2530475" cy="647700"/>
                  <wp:effectExtent l="0" t="0" r="3175" b="0"/>
                  <wp:docPr id="74794475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0475" cy="647700"/>
                          </a:xfrm>
                          <a:prstGeom prst="rect">
                            <a:avLst/>
                          </a:prstGeom>
                          <a:noFill/>
                          <a:ln>
                            <a:noFill/>
                          </a:ln>
                        </pic:spPr>
                      </pic:pic>
                    </a:graphicData>
                  </a:graphic>
                </wp:inline>
              </w:drawing>
            </w:r>
          </w:p>
          <w:p w14:paraId="5B09AD74" w14:textId="77777777" w:rsidR="00A45E4F" w:rsidRDefault="00A45E4F" w:rsidP="00A45E4F">
            <w:pPr>
              <w:jc w:val="both"/>
              <w:rPr>
                <w:rFonts w:ascii="Calibri" w:eastAsia="Calibri" w:hAnsi="Calibri" w:cs="Times New Roman"/>
                <w:noProof/>
                <w:kern w:val="0"/>
                <w:sz w:val="22"/>
                <w:szCs w:val="22"/>
                <w:lang w:eastAsia="fr-BE"/>
                <w14:ligatures w14:val="none"/>
              </w:rPr>
            </w:pPr>
          </w:p>
        </w:tc>
      </w:tr>
      <w:tr w:rsidR="00A45E4F" w14:paraId="41C97F03" w14:textId="77777777" w:rsidTr="006D3C08">
        <w:tc>
          <w:tcPr>
            <w:tcW w:w="4527" w:type="dxa"/>
          </w:tcPr>
          <w:p w14:paraId="27F08870" w14:textId="42C73406" w:rsidR="00A45E4F" w:rsidRDefault="00A45E4F" w:rsidP="00A45E4F">
            <w:pPr>
              <w:spacing w:before="120"/>
              <w:jc w:val="center"/>
              <w:rPr>
                <w:rFonts w:ascii="Calibri" w:eastAsia="Calibri" w:hAnsi="Calibri" w:cs="Times New Roman"/>
                <w:noProof/>
                <w:kern w:val="0"/>
                <w:sz w:val="22"/>
                <w:szCs w:val="22"/>
                <w14:ligatures w14:val="none"/>
              </w:rPr>
            </w:pPr>
            <w:r>
              <w:rPr>
                <w:rFonts w:ascii="Calibri" w:hAnsi="Calibri"/>
                <w:noProof/>
                <w:sz w:val="22"/>
                <w:szCs w:val="22"/>
              </w:rPr>
              <w:drawing>
                <wp:inline distT="0" distB="0" distL="0" distR="0" wp14:anchorId="6F23A54A" wp14:editId="4589034A">
                  <wp:extent cx="2438400" cy="1319530"/>
                  <wp:effectExtent l="0" t="0" r="0" b="0"/>
                  <wp:docPr id="134541874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4063" cy="1322595"/>
                          </a:xfrm>
                          <a:prstGeom prst="rect">
                            <a:avLst/>
                          </a:prstGeom>
                          <a:noFill/>
                        </pic:spPr>
                      </pic:pic>
                    </a:graphicData>
                  </a:graphic>
                </wp:inline>
              </w:drawing>
            </w:r>
          </w:p>
        </w:tc>
        <w:tc>
          <w:tcPr>
            <w:tcW w:w="4132" w:type="dxa"/>
          </w:tcPr>
          <w:p w14:paraId="51AF0116" w14:textId="79E722CA" w:rsidR="00A45E4F" w:rsidRDefault="00A45E4F" w:rsidP="00A45E4F">
            <w:pPr>
              <w:spacing w:before="120"/>
              <w:jc w:val="center"/>
              <w:rPr>
                <w:rFonts w:ascii="Calibri" w:eastAsia="Calibri" w:hAnsi="Calibri" w:cs="Times New Roman"/>
                <w:noProof/>
                <w:kern w:val="0"/>
                <w:sz w:val="22"/>
                <w:szCs w:val="22"/>
                <w14:ligatures w14:val="none"/>
              </w:rPr>
            </w:pPr>
            <w:r>
              <w:rPr>
                <w:noProof/>
              </w:rPr>
              <w:drawing>
                <wp:inline distT="0" distB="0" distL="0" distR="0" wp14:anchorId="332E9938" wp14:editId="1DB8BA4F">
                  <wp:extent cx="2638425" cy="1133475"/>
                  <wp:effectExtent l="0" t="0" r="9525" b="9525"/>
                  <wp:docPr id="13840515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3538" name=""/>
                          <pic:cNvPicPr/>
                        </pic:nvPicPr>
                        <pic:blipFill>
                          <a:blip r:embed="rId11"/>
                          <a:stretch>
                            <a:fillRect/>
                          </a:stretch>
                        </pic:blipFill>
                        <pic:spPr>
                          <a:xfrm>
                            <a:off x="0" y="0"/>
                            <a:ext cx="2638425" cy="1133475"/>
                          </a:xfrm>
                          <a:prstGeom prst="rect">
                            <a:avLst/>
                          </a:prstGeom>
                        </pic:spPr>
                      </pic:pic>
                    </a:graphicData>
                  </a:graphic>
                </wp:inline>
              </w:drawing>
            </w:r>
          </w:p>
        </w:tc>
      </w:tr>
      <w:tr w:rsidR="00A45E4F" w14:paraId="36AE376C" w14:textId="77777777" w:rsidTr="006D3C08">
        <w:tc>
          <w:tcPr>
            <w:tcW w:w="4527" w:type="dxa"/>
          </w:tcPr>
          <w:p w14:paraId="6A1A5DA5" w14:textId="641F1D6A" w:rsidR="00A45E4F" w:rsidRDefault="00A45E4F" w:rsidP="00A45E4F">
            <w:pPr>
              <w:spacing w:before="120"/>
              <w:jc w:val="center"/>
              <w:rPr>
                <w:rFonts w:ascii="Calibri" w:eastAsia="Calibri" w:hAnsi="Calibri" w:cs="Times New Roman"/>
                <w:noProof/>
                <w:kern w:val="0"/>
                <w:sz w:val="22"/>
                <w:szCs w:val="22"/>
                <w14:ligatures w14:val="none"/>
              </w:rPr>
            </w:pPr>
            <w:r>
              <w:rPr>
                <w:noProof/>
              </w:rPr>
              <w:drawing>
                <wp:inline distT="0" distB="0" distL="0" distR="0" wp14:anchorId="18B86605" wp14:editId="752E809D">
                  <wp:extent cx="2693670" cy="900430"/>
                  <wp:effectExtent l="0" t="0" r="0" b="0"/>
                  <wp:docPr id="7472247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80963" name=""/>
                          <pic:cNvPicPr/>
                        </pic:nvPicPr>
                        <pic:blipFill>
                          <a:blip r:embed="rId12"/>
                          <a:stretch>
                            <a:fillRect/>
                          </a:stretch>
                        </pic:blipFill>
                        <pic:spPr>
                          <a:xfrm>
                            <a:off x="0" y="0"/>
                            <a:ext cx="2693670" cy="900430"/>
                          </a:xfrm>
                          <a:prstGeom prst="rect">
                            <a:avLst/>
                          </a:prstGeom>
                        </pic:spPr>
                      </pic:pic>
                    </a:graphicData>
                  </a:graphic>
                </wp:inline>
              </w:drawing>
            </w:r>
          </w:p>
        </w:tc>
        <w:tc>
          <w:tcPr>
            <w:tcW w:w="4132" w:type="dxa"/>
          </w:tcPr>
          <w:p w14:paraId="10876EB1" w14:textId="616A6378" w:rsidR="00A45E4F" w:rsidRDefault="00A45E4F" w:rsidP="00A45E4F">
            <w:pPr>
              <w:spacing w:before="120"/>
              <w:jc w:val="center"/>
              <w:rPr>
                <w:rFonts w:ascii="Calibri" w:eastAsia="Calibri" w:hAnsi="Calibri" w:cs="Times New Roman"/>
                <w:noProof/>
                <w:kern w:val="0"/>
                <w:sz w:val="22"/>
                <w:szCs w:val="22"/>
                <w14:ligatures w14:val="none"/>
              </w:rPr>
            </w:pPr>
            <w:r>
              <w:rPr>
                <w:noProof/>
              </w:rPr>
              <w:drawing>
                <wp:inline distT="0" distB="0" distL="0" distR="0" wp14:anchorId="4976E4C9" wp14:editId="7133C5F6">
                  <wp:extent cx="2105025" cy="752475"/>
                  <wp:effectExtent l="0" t="0" r="9525" b="9525"/>
                  <wp:docPr id="19549495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49583" name=""/>
                          <pic:cNvPicPr/>
                        </pic:nvPicPr>
                        <pic:blipFill>
                          <a:blip r:embed="rId13"/>
                          <a:stretch>
                            <a:fillRect/>
                          </a:stretch>
                        </pic:blipFill>
                        <pic:spPr>
                          <a:xfrm>
                            <a:off x="0" y="0"/>
                            <a:ext cx="2105025" cy="752475"/>
                          </a:xfrm>
                          <a:prstGeom prst="rect">
                            <a:avLst/>
                          </a:prstGeom>
                        </pic:spPr>
                      </pic:pic>
                    </a:graphicData>
                  </a:graphic>
                </wp:inline>
              </w:drawing>
            </w:r>
          </w:p>
        </w:tc>
      </w:tr>
      <w:tr w:rsidR="00A45E4F" w14:paraId="0254972C" w14:textId="77777777" w:rsidTr="006D3C08">
        <w:tc>
          <w:tcPr>
            <w:tcW w:w="4527" w:type="dxa"/>
          </w:tcPr>
          <w:p w14:paraId="5490E9C6" w14:textId="387EE4FF" w:rsidR="00A45E4F" w:rsidRDefault="00A45E4F" w:rsidP="00A45E4F">
            <w:pPr>
              <w:jc w:val="center"/>
              <w:rPr>
                <w:rFonts w:ascii="Calibri" w:eastAsia="Calibri" w:hAnsi="Calibri" w:cs="Times New Roman"/>
                <w:noProof/>
                <w:kern w:val="0"/>
                <w:sz w:val="22"/>
                <w:szCs w:val="22"/>
                <w14:ligatures w14:val="none"/>
              </w:rPr>
            </w:pPr>
            <w:r>
              <w:rPr>
                <w:rFonts w:ascii="Calibri" w:hAnsi="Calibri"/>
                <w:noProof/>
                <w:sz w:val="22"/>
                <w:szCs w:val="22"/>
              </w:rPr>
              <w:drawing>
                <wp:inline distT="0" distB="0" distL="0" distR="0" wp14:anchorId="05804F31" wp14:editId="3520703F">
                  <wp:extent cx="1420495" cy="1426845"/>
                  <wp:effectExtent l="0" t="0" r="8255" b="1905"/>
                  <wp:docPr id="139197035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0495" cy="1426845"/>
                          </a:xfrm>
                          <a:prstGeom prst="rect">
                            <a:avLst/>
                          </a:prstGeom>
                          <a:noFill/>
                        </pic:spPr>
                      </pic:pic>
                    </a:graphicData>
                  </a:graphic>
                </wp:inline>
              </w:drawing>
            </w:r>
          </w:p>
        </w:tc>
        <w:tc>
          <w:tcPr>
            <w:tcW w:w="4132" w:type="dxa"/>
          </w:tcPr>
          <w:p w14:paraId="56652BF7" w14:textId="5D891FEE" w:rsidR="00A45E4F" w:rsidRDefault="00A45E4F" w:rsidP="00A45E4F">
            <w:pPr>
              <w:spacing w:before="120"/>
              <w:rPr>
                <w:rFonts w:ascii="Calibri" w:eastAsia="Calibri" w:hAnsi="Calibri" w:cs="Times New Roman"/>
                <w:noProof/>
                <w:kern w:val="0"/>
                <w:sz w:val="22"/>
                <w:szCs w:val="22"/>
                <w14:ligatures w14:val="none"/>
              </w:rPr>
            </w:pPr>
            <w:r>
              <w:rPr>
                <w:rFonts w:ascii="Calibri" w:hAnsi="Calibri"/>
                <w:noProof/>
                <w:sz w:val="22"/>
                <w:szCs w:val="22"/>
              </w:rPr>
              <w:drawing>
                <wp:inline distT="0" distB="0" distL="0" distR="0" wp14:anchorId="519BF847" wp14:editId="48251684">
                  <wp:extent cx="2487295" cy="933450"/>
                  <wp:effectExtent l="0" t="0" r="8255" b="0"/>
                  <wp:docPr id="175000098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7295" cy="933450"/>
                          </a:xfrm>
                          <a:prstGeom prst="rect">
                            <a:avLst/>
                          </a:prstGeom>
                          <a:noFill/>
                        </pic:spPr>
                      </pic:pic>
                    </a:graphicData>
                  </a:graphic>
                </wp:inline>
              </w:drawing>
            </w:r>
          </w:p>
        </w:tc>
      </w:tr>
    </w:tbl>
    <w:p w14:paraId="58B59C69" w14:textId="77777777" w:rsidR="00A45E4F" w:rsidRDefault="00A45E4F" w:rsidP="00A45E4F">
      <w:pPr>
        <w:pBdr>
          <w:bar w:val="single" w:sz="4" w:color="auto"/>
        </w:pBdr>
        <w:spacing w:after="0" w:line="240" w:lineRule="auto"/>
        <w:ind w:left="357"/>
        <w:jc w:val="both"/>
        <w:rPr>
          <w:rFonts w:ascii="Calibri" w:eastAsia="Calibri" w:hAnsi="Calibri" w:cs="Times New Roman"/>
          <w:noProof/>
          <w:kern w:val="0"/>
          <w:sz w:val="22"/>
          <w:szCs w:val="22"/>
          <w:lang w:eastAsia="fr-BE"/>
          <w14:ligatures w14:val="none"/>
        </w:rPr>
      </w:pPr>
    </w:p>
    <w:p w14:paraId="6507A7B6" w14:textId="2DAA161A" w:rsidR="006F0280" w:rsidRPr="00517307" w:rsidRDefault="006F0280" w:rsidP="006F0280">
      <w:pPr>
        <w:spacing w:after="120" w:line="240" w:lineRule="auto"/>
        <w:ind w:left="360"/>
        <w:jc w:val="right"/>
        <w:rPr>
          <w:rFonts w:ascii="Montserrat" w:eastAsia="Calibri" w:hAnsi="Montserrat" w:cs="Times New Roman"/>
          <w:kern w:val="0"/>
          <w:sz w:val="22"/>
          <w:szCs w:val="22"/>
          <w14:ligatures w14:val="none"/>
        </w:rPr>
      </w:pPr>
      <w:r>
        <w:rPr>
          <w:rFonts w:ascii="Montserrat" w:hAnsi="Montserrat"/>
          <w:sz w:val="22"/>
          <w:szCs w:val="22"/>
        </w:rPr>
        <w:t>Bruxelles, 28 mai 2024</w:t>
      </w:r>
    </w:p>
    <w:p w14:paraId="71B9EA6C" w14:textId="77777777" w:rsidR="006F0280" w:rsidRPr="00517307" w:rsidRDefault="006F0280" w:rsidP="006F0280">
      <w:pPr>
        <w:spacing w:after="120" w:line="240" w:lineRule="auto"/>
        <w:ind w:left="360"/>
        <w:jc w:val="center"/>
        <w:rPr>
          <w:rFonts w:ascii="Montserrat" w:eastAsia="Calibri" w:hAnsi="Montserrat" w:cs="Times New Roman"/>
          <w:b/>
          <w:bCs/>
          <w:kern w:val="0"/>
          <w:sz w:val="28"/>
          <w:szCs w:val="28"/>
          <w14:ligatures w14:val="none"/>
        </w:rPr>
      </w:pPr>
      <w:r>
        <w:rPr>
          <w:rFonts w:ascii="Montserrat" w:hAnsi="Montserrat"/>
          <w:b/>
          <w:bCs/>
          <w:sz w:val="28"/>
          <w:szCs w:val="28"/>
        </w:rPr>
        <w:t>Plan de acțiune european</w:t>
      </w:r>
    </w:p>
    <w:p w14:paraId="0463345D" w14:textId="0A3EB3FA" w:rsidR="006F0280" w:rsidRPr="00517307" w:rsidRDefault="006F0280" w:rsidP="006F0280">
      <w:pPr>
        <w:spacing w:after="120" w:line="240" w:lineRule="auto"/>
        <w:ind w:left="360"/>
        <w:jc w:val="center"/>
        <w:rPr>
          <w:rFonts w:ascii="Montserrat" w:eastAsia="Calibri" w:hAnsi="Montserrat" w:cs="Times New Roman"/>
          <w:b/>
          <w:bCs/>
          <w:kern w:val="0"/>
          <w:sz w:val="28"/>
          <w:szCs w:val="28"/>
          <w14:ligatures w14:val="none"/>
        </w:rPr>
      </w:pPr>
      <w:r>
        <w:rPr>
          <w:rFonts w:ascii="Montserrat" w:hAnsi="Montserrat"/>
          <w:b/>
          <w:bCs/>
          <w:sz w:val="28"/>
          <w:szCs w:val="28"/>
        </w:rPr>
        <w:t>Producția europeană de cartofi în pericol: apel pentru combaterea manei cartofului</w:t>
      </w:r>
    </w:p>
    <w:p w14:paraId="6CDC8277" w14:textId="77777777" w:rsidR="006F0280" w:rsidRPr="00257C97" w:rsidRDefault="006F0280" w:rsidP="006F0280">
      <w:pPr>
        <w:spacing w:after="120" w:line="240" w:lineRule="auto"/>
        <w:ind w:left="360"/>
        <w:textAlignment w:val="baseline"/>
        <w:rPr>
          <w:rFonts w:ascii="Montserrat" w:eastAsia="Times New Roman" w:hAnsi="Montserrat" w:cs="Aptos"/>
          <w:b/>
          <w:bCs/>
          <w:kern w:val="0"/>
          <w:sz w:val="22"/>
          <w:szCs w:val="22"/>
          <w:lang w:val="fr-FR" w:eastAsia="en-GB"/>
          <w14:ligatures w14:val="none"/>
        </w:rPr>
      </w:pPr>
    </w:p>
    <w:p w14:paraId="6285EF49" w14:textId="77777777" w:rsidR="006F0280" w:rsidRPr="00517307" w:rsidRDefault="006F0280" w:rsidP="006F0280">
      <w:pPr>
        <w:spacing w:after="120" w:line="240" w:lineRule="auto"/>
        <w:ind w:left="360"/>
        <w:textAlignment w:val="baseline"/>
        <w:rPr>
          <w:rFonts w:ascii="Montserrat" w:eastAsia="Times New Roman" w:hAnsi="Montserrat" w:cs="Aptos"/>
          <w:b/>
          <w:bCs/>
          <w:kern w:val="0"/>
          <w14:ligatures w14:val="none"/>
        </w:rPr>
      </w:pPr>
      <w:r>
        <w:rPr>
          <w:rFonts w:ascii="Montserrat" w:hAnsi="Montserrat"/>
          <w:b/>
          <w:bCs/>
        </w:rPr>
        <w:t>Introducere</w:t>
      </w:r>
    </w:p>
    <w:p w14:paraId="4739BEA0" w14:textId="47ACD2D4" w:rsidR="006F0280" w:rsidRPr="00517307" w:rsidRDefault="006F0280" w:rsidP="006F0280">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 xml:space="preserve">Mana cartofului </w:t>
      </w:r>
      <w:r>
        <w:rPr>
          <w:rFonts w:ascii="Montserrat" w:hAnsi="Montserrat"/>
          <w:i/>
          <w:iCs/>
          <w:color w:val="000000"/>
          <w:sz w:val="20"/>
          <w:szCs w:val="20"/>
        </w:rPr>
        <w:t>(</w:t>
      </w:r>
      <w:proofErr w:type="spellStart"/>
      <w:r>
        <w:rPr>
          <w:rFonts w:ascii="Montserrat" w:hAnsi="Montserrat"/>
          <w:i/>
          <w:iCs/>
          <w:color w:val="000000"/>
          <w:sz w:val="20"/>
          <w:szCs w:val="20"/>
        </w:rPr>
        <w:t>Phytophthora</w:t>
      </w:r>
      <w:proofErr w:type="spellEnd"/>
      <w:r>
        <w:rPr>
          <w:rFonts w:ascii="Montserrat" w:hAnsi="Montserrat"/>
          <w:i/>
          <w:iCs/>
          <w:color w:val="000000"/>
          <w:sz w:val="20"/>
          <w:szCs w:val="20"/>
        </w:rPr>
        <w:t xml:space="preserve"> </w:t>
      </w:r>
      <w:proofErr w:type="spellStart"/>
      <w:r>
        <w:rPr>
          <w:rFonts w:ascii="Montserrat" w:hAnsi="Montserrat"/>
          <w:i/>
          <w:iCs/>
          <w:color w:val="000000"/>
          <w:sz w:val="20"/>
          <w:szCs w:val="20"/>
        </w:rPr>
        <w:t>infestans</w:t>
      </w:r>
      <w:proofErr w:type="spellEnd"/>
      <w:r>
        <w:rPr>
          <w:rFonts w:ascii="Montserrat" w:hAnsi="Montserrat"/>
          <w:i/>
          <w:iCs/>
          <w:color w:val="000000"/>
          <w:sz w:val="20"/>
          <w:szCs w:val="20"/>
        </w:rPr>
        <w:t>)</w:t>
      </w:r>
      <w:r>
        <w:rPr>
          <w:rFonts w:ascii="Montserrat" w:hAnsi="Montserrat"/>
          <w:color w:val="000000"/>
          <w:sz w:val="20"/>
          <w:szCs w:val="20"/>
        </w:rPr>
        <w:t xml:space="preserve"> este cea mai distructivă boală la cartofi, fiind responsabilă de foametea irlandeză din secolul al XIX-lea. Pagubele economice anuale în UE sunt estimate la aproximativ 900 de milioane EUR</w:t>
      </w:r>
      <w:r w:rsidRPr="00517307">
        <w:rPr>
          <w:rFonts w:ascii="Montserrat" w:eastAsia="Times New Roman" w:hAnsi="Montserrat" w:cs="Aptos"/>
          <w:color w:val="000000"/>
          <w:kern w:val="0"/>
          <w:sz w:val="20"/>
          <w:szCs w:val="20"/>
          <w:vertAlign w:val="superscript"/>
          <w:lang w:val="en-US" w:eastAsia="en-GB"/>
        </w:rPr>
        <w:footnoteReference w:id="1"/>
      </w:r>
      <w:r>
        <w:rPr>
          <w:rFonts w:ascii="Montserrat" w:hAnsi="Montserrat"/>
          <w:color w:val="000000"/>
          <w:sz w:val="20"/>
          <w:szCs w:val="20"/>
        </w:rPr>
        <w:t xml:space="preserve">. </w:t>
      </w:r>
    </w:p>
    <w:p w14:paraId="0D52EAAD" w14:textId="696A3525" w:rsidR="006F0280" w:rsidRPr="00517307" w:rsidRDefault="006F0280" w:rsidP="006F0280">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 xml:space="preserve">Patogenul infectează și frunzele și tuberculii și poate distruge pe deplin o cultură, într-o săptămână sau două. În plus, patogenul se adaptează ușor și dezvoltă repede rezistență la fungicide și distruge genele de rezistență (genele R). </w:t>
      </w:r>
    </w:p>
    <w:p w14:paraId="4101AD90" w14:textId="1CFDDFEB" w:rsidR="006F0280" w:rsidRPr="00517307" w:rsidRDefault="006F0280" w:rsidP="006F0280">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 xml:space="preserve">Populația patogenă dezvoltă spectre de virulență tot mai complexe în ultimul timp (adică capacitatea de a distruge tot mai multe combinații de gene R) și rezistența combinată la ingredientele active din fungicide cu utilizare single-site. Aceste evoluții </w:t>
      </w:r>
      <w:r>
        <w:rPr>
          <w:rFonts w:ascii="Montserrat" w:hAnsi="Montserrat"/>
          <w:color w:val="000000"/>
          <w:sz w:val="20"/>
          <w:szCs w:val="20"/>
        </w:rPr>
        <w:lastRenderedPageBreak/>
        <w:t>reduc numărul de instrumente eficiente de control, posibil la un nivel atât de scăzut încânt actualele strategii de combaterea integrată a dăunătorilor (IPM) să nu mai fie eficiente în viitor</w:t>
      </w:r>
      <w:r w:rsidRPr="00517307">
        <w:rPr>
          <w:rFonts w:ascii="Montserrat" w:eastAsia="Times New Roman" w:hAnsi="Montserrat" w:cs="Aptos"/>
          <w:color w:val="000000"/>
          <w:kern w:val="0"/>
          <w:sz w:val="20"/>
          <w:szCs w:val="20"/>
          <w:vertAlign w:val="superscript"/>
          <w:lang w:val="en-US" w:eastAsia="en-GB"/>
        </w:rPr>
        <w:footnoteReference w:id="2"/>
      </w:r>
      <w:r>
        <w:rPr>
          <w:rFonts w:ascii="Montserrat" w:hAnsi="Montserrat"/>
          <w:color w:val="000000"/>
          <w:sz w:val="20"/>
          <w:szCs w:val="20"/>
        </w:rPr>
        <w:t>.</w:t>
      </w:r>
    </w:p>
    <w:p w14:paraId="786C486C" w14:textId="5283F50A" w:rsidR="006F0280" w:rsidRDefault="006F0280" w:rsidP="006F0280">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Strategiile de control prin</w:t>
      </w:r>
      <w:bookmarkStart w:id="0" w:name="_Hlk167706995"/>
      <w:r>
        <w:t xml:space="preserve"> </w:t>
      </w:r>
      <w:r>
        <w:rPr>
          <w:rFonts w:ascii="Montserrat" w:hAnsi="Montserrat"/>
          <w:color w:val="000000"/>
          <w:sz w:val="20"/>
          <w:szCs w:val="20"/>
        </w:rPr>
        <w:t>combaterea integrată a dăunătorilor (IPM)</w:t>
      </w:r>
      <w:bookmarkEnd w:id="0"/>
      <w:r>
        <w:t xml:space="preserve"> </w:t>
      </w:r>
      <w:r>
        <w:rPr>
          <w:rFonts w:ascii="Montserrat" w:hAnsi="Montserrat"/>
          <w:color w:val="000000"/>
          <w:sz w:val="20"/>
          <w:szCs w:val="20"/>
        </w:rPr>
        <w:t>orientate spre viitor sunt fezabile prin combinarea strategiei actuale cu introducerea unor soiuri mai rezistente de cartofi, a practicilor de gestionare împotriva infecției și cu ajutorul fungicidelor cu o gamă de „moduri de acțiune”, unde genele de rezistență și ingredientele active din fungicide se complementează și protejează reciproc.</w:t>
      </w:r>
    </w:p>
    <w:p w14:paraId="795CD809" w14:textId="77777777" w:rsidR="00517307" w:rsidRPr="00257C97" w:rsidRDefault="00517307" w:rsidP="006F0280">
      <w:pPr>
        <w:spacing w:before="100" w:beforeAutospacing="1" w:after="120" w:afterAutospacing="1" w:line="240" w:lineRule="auto"/>
        <w:ind w:left="360"/>
        <w:jc w:val="both"/>
        <w:textAlignment w:val="baseline"/>
        <w:rPr>
          <w:rFonts w:ascii="Montserrat" w:eastAsia="Times New Roman" w:hAnsi="Montserrat" w:cs="Aptos"/>
          <w:color w:val="000000"/>
          <w:kern w:val="0"/>
          <w:sz w:val="20"/>
          <w:szCs w:val="20"/>
          <w:lang w:eastAsia="en-GB"/>
          <w14:ligatures w14:val="none"/>
        </w:rPr>
      </w:pPr>
    </w:p>
    <w:p w14:paraId="6D2352A4" w14:textId="77777777" w:rsidR="006F0280" w:rsidRPr="00517307" w:rsidRDefault="006F0280" w:rsidP="006F0280">
      <w:pPr>
        <w:spacing w:after="120" w:line="240" w:lineRule="auto"/>
        <w:ind w:left="360"/>
        <w:jc w:val="both"/>
        <w:textAlignment w:val="baseline"/>
        <w:rPr>
          <w:rFonts w:ascii="Montserrat" w:eastAsia="Aptos" w:hAnsi="Montserrat" w:cs="Aptos"/>
          <w:b/>
          <w:bCs/>
          <w:color w:val="000000"/>
          <w14:ligatures w14:val="none"/>
        </w:rPr>
      </w:pPr>
      <w:r>
        <w:rPr>
          <w:rFonts w:ascii="Montserrat" w:hAnsi="Montserrat"/>
          <w:b/>
          <w:bCs/>
          <w:color w:val="000000"/>
        </w:rPr>
        <w:t>Mana constituie o amenințare gravă la adresa producției europene de cartofi, a lanțului de aprovizionare cu cartofi și a balanței comerciale pozitive a UE.</w:t>
      </w:r>
    </w:p>
    <w:p w14:paraId="7F263DB5" w14:textId="1A422773" w:rsidR="006F0280" w:rsidRPr="00517307" w:rsidRDefault="006F0280" w:rsidP="006F0280">
      <w:pPr>
        <w:spacing w:after="120"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 xml:space="preserve">Tulpina nouă și extrem de agresivă de mană </w:t>
      </w:r>
      <w:bookmarkStart w:id="1" w:name="_Hlk167705309"/>
      <w:r>
        <w:rPr>
          <w:rFonts w:ascii="Montserrat" w:hAnsi="Montserrat"/>
          <w:i/>
          <w:iCs/>
          <w:color w:val="000000"/>
          <w:sz w:val="20"/>
          <w:szCs w:val="20"/>
        </w:rPr>
        <w:t>(</w:t>
      </w:r>
      <w:proofErr w:type="spellStart"/>
      <w:r>
        <w:rPr>
          <w:rFonts w:ascii="Montserrat" w:hAnsi="Montserrat"/>
          <w:i/>
          <w:iCs/>
          <w:color w:val="000000"/>
          <w:sz w:val="20"/>
          <w:szCs w:val="20"/>
        </w:rPr>
        <w:t>Phytophthora</w:t>
      </w:r>
      <w:proofErr w:type="spellEnd"/>
      <w:r>
        <w:rPr>
          <w:rFonts w:ascii="Montserrat" w:hAnsi="Montserrat"/>
          <w:i/>
          <w:iCs/>
          <w:color w:val="000000"/>
          <w:sz w:val="20"/>
          <w:szCs w:val="20"/>
        </w:rPr>
        <w:t xml:space="preserve"> </w:t>
      </w:r>
      <w:proofErr w:type="spellStart"/>
      <w:r>
        <w:rPr>
          <w:rFonts w:ascii="Montserrat" w:hAnsi="Montserrat"/>
          <w:i/>
          <w:iCs/>
          <w:color w:val="000000"/>
          <w:sz w:val="20"/>
          <w:szCs w:val="20"/>
        </w:rPr>
        <w:t>infestans</w:t>
      </w:r>
      <w:proofErr w:type="spellEnd"/>
      <w:r>
        <w:rPr>
          <w:rFonts w:ascii="Montserrat" w:hAnsi="Montserrat"/>
          <w:i/>
          <w:iCs/>
          <w:color w:val="000000"/>
          <w:sz w:val="20"/>
          <w:szCs w:val="20"/>
        </w:rPr>
        <w:t>)</w:t>
      </w:r>
      <w:r>
        <w:rPr>
          <w:rFonts w:ascii="Montserrat" w:hAnsi="Montserrat"/>
          <w:color w:val="000000"/>
          <w:sz w:val="20"/>
          <w:szCs w:val="20"/>
        </w:rPr>
        <w:t xml:space="preserve"> </w:t>
      </w:r>
      <w:bookmarkEnd w:id="1"/>
      <w:r>
        <w:rPr>
          <w:rFonts w:ascii="Montserrat" w:hAnsi="Montserrat"/>
          <w:color w:val="000000"/>
          <w:sz w:val="20"/>
          <w:szCs w:val="20"/>
        </w:rPr>
        <w:t xml:space="preserve">se răspândește cu rapiditate. În plus, aceasta dezvoltă o rezistență crescută la fungicidele single-site utilizate în mod normal pentru a ține mana sub control la nivel european. Fungicidele cu un mod de acțiune </w:t>
      </w:r>
      <w:proofErr w:type="spellStart"/>
      <w:r>
        <w:rPr>
          <w:rFonts w:ascii="Montserrat" w:hAnsi="Montserrat"/>
          <w:color w:val="000000"/>
          <w:sz w:val="20"/>
          <w:szCs w:val="20"/>
        </w:rPr>
        <w:t>multi</w:t>
      </w:r>
      <w:proofErr w:type="spellEnd"/>
      <w:r>
        <w:rPr>
          <w:rFonts w:ascii="Montserrat" w:hAnsi="Montserrat"/>
          <w:color w:val="000000"/>
          <w:sz w:val="20"/>
          <w:szCs w:val="20"/>
        </w:rPr>
        <w:t>-site nu mai sunt disponibile pentru a fi utilizate de cultivatorii de cartofi din UE. În prezent, a fost detectată rezistență la patru din cele unsprezece moduri de acțiune ale fungicidelor principale. Prin urmare, celelalte moduri de acțiune se află sub o presiune și mai mare și mai serioasă. Se anticipează ca pe viitor să se dezvolte rezistență și la celelalte moduri de acțiune.</w:t>
      </w:r>
    </w:p>
    <w:p w14:paraId="791A4AC0" w14:textId="77777777" w:rsidR="006F0280" w:rsidRPr="00517307" w:rsidRDefault="006F0280" w:rsidP="006F0280">
      <w:pPr>
        <w:spacing w:after="120"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De asemenea, unele rezistențe genetice la cartofi au fost eliminate în culturile de câmp, punând în pericol o piatră de temelie esențială a gestionării integrate a culturilor. Viitorul producției europene de cartofi este amenințat pentru toate tipurile de producție, fie că este vorba de producție convențională, ecologică sau de grădinarii casnici. Protejarea sănătății culturilor și a calității produselor este piatra de temelie a tuturor activităților agricole, indiferent de metoda de producție.</w:t>
      </w:r>
    </w:p>
    <w:p w14:paraId="00B2ADA7" w14:textId="77777777" w:rsidR="006F0280" w:rsidRPr="00517307" w:rsidRDefault="006F0280" w:rsidP="006F0280">
      <w:pPr>
        <w:spacing w:after="120" w:line="240" w:lineRule="auto"/>
        <w:ind w:left="360"/>
        <w:textAlignment w:val="baseline"/>
        <w:rPr>
          <w:rFonts w:ascii="Montserrat" w:eastAsia="Times New Roman" w:hAnsi="Montserrat" w:cs="Open Sans"/>
          <w:color w:val="0A0A0A"/>
          <w:kern w:val="0"/>
          <w:sz w:val="20"/>
          <w:szCs w:val="20"/>
          <w:shd w:val="clear" w:color="auto" w:fill="FEFEFE"/>
          <w14:ligatures w14:val="none"/>
        </w:rPr>
      </w:pPr>
      <w:r>
        <w:rPr>
          <w:rFonts w:ascii="Montserrat" w:hAnsi="Montserrat"/>
          <w:color w:val="0A0A0A"/>
          <w:sz w:val="20"/>
          <w:szCs w:val="20"/>
          <w:shd w:val="clear" w:color="auto" w:fill="FEFEFE"/>
        </w:rPr>
        <w:t>Mana cartofului este deja un flagel pentru perioada de creștere 2024, sectorul cartofului având nevoie disperată de soluții atât pe termen scurt, cât și pe termen lung, inclusiv atât în ceea ce privește cercetarea, cât și în ceea ce privește aplicațiile.</w:t>
      </w:r>
    </w:p>
    <w:p w14:paraId="61BC838F" w14:textId="77777777" w:rsidR="006F0280" w:rsidRPr="00517307" w:rsidRDefault="006F0280" w:rsidP="006F0280">
      <w:pPr>
        <w:spacing w:after="120" w:line="240" w:lineRule="auto"/>
        <w:ind w:left="360"/>
        <w:jc w:val="both"/>
        <w:textAlignment w:val="baseline"/>
        <w:rPr>
          <w:rFonts w:ascii="Montserrat" w:eastAsia="Times New Roman" w:hAnsi="Montserrat" w:cs="Open Sans"/>
          <w:color w:val="0A0A0A"/>
          <w:kern w:val="0"/>
          <w:sz w:val="20"/>
          <w:szCs w:val="20"/>
          <w:shd w:val="clear" w:color="auto" w:fill="FEFEFE"/>
          <w14:ligatures w14:val="none"/>
        </w:rPr>
      </w:pPr>
      <w:r>
        <w:rPr>
          <w:rFonts w:ascii="Montserrat" w:hAnsi="Montserrat"/>
          <w:color w:val="000000"/>
          <w:sz w:val="20"/>
          <w:szCs w:val="20"/>
        </w:rPr>
        <w:t xml:space="preserve">Este vital să informăm Comisia Europeană, Parlamentul European și statele membre cu privire la </w:t>
      </w:r>
      <w:r>
        <w:rPr>
          <w:rFonts w:ascii="Montserrat" w:hAnsi="Montserrat"/>
          <w:b/>
          <w:bCs/>
          <w:color w:val="000000"/>
          <w:sz w:val="20"/>
          <w:szCs w:val="20"/>
        </w:rPr>
        <w:t>gravitatea situației</w:t>
      </w:r>
      <w:r>
        <w:rPr>
          <w:rFonts w:ascii="Montserrat" w:hAnsi="Montserrat"/>
          <w:color w:val="000000"/>
          <w:sz w:val="20"/>
          <w:szCs w:val="20"/>
        </w:rPr>
        <w:t xml:space="preserve"> </w:t>
      </w:r>
      <w:r>
        <w:rPr>
          <w:rFonts w:ascii="Montserrat" w:hAnsi="Montserrat"/>
          <w:b/>
          <w:bCs/>
          <w:color w:val="000000"/>
          <w:sz w:val="20"/>
          <w:szCs w:val="20"/>
        </w:rPr>
        <w:t>și la nevoia urgentă de acțiune coordonată, inclusiv necesitatea de a derula politici și resurse adecvate din partea Comisiei Europene și a statelor membre</w:t>
      </w:r>
      <w:r>
        <w:rPr>
          <w:rFonts w:ascii="Montserrat" w:hAnsi="Montserrat"/>
          <w:color w:val="000000"/>
          <w:sz w:val="20"/>
          <w:szCs w:val="20"/>
        </w:rPr>
        <w:t>.</w:t>
      </w:r>
    </w:p>
    <w:p w14:paraId="180FDF04" w14:textId="77777777" w:rsidR="006F0280" w:rsidRPr="00257C97" w:rsidRDefault="006F0280" w:rsidP="006F0280">
      <w:pPr>
        <w:spacing w:after="120" w:line="240" w:lineRule="auto"/>
        <w:jc w:val="both"/>
        <w:textAlignment w:val="baseline"/>
        <w:rPr>
          <w:rFonts w:ascii="Montserrat" w:eastAsia="Times New Roman" w:hAnsi="Montserrat" w:cs="Aptos"/>
          <w:color w:val="000000"/>
          <w:kern w:val="0"/>
          <w:sz w:val="22"/>
          <w:szCs w:val="22"/>
          <w:lang w:eastAsia="en-GB"/>
          <w14:ligatures w14:val="none"/>
        </w:rPr>
      </w:pPr>
    </w:p>
    <w:p w14:paraId="33EB6822" w14:textId="77777777" w:rsidR="006F0280" w:rsidRPr="00517307" w:rsidRDefault="006F0280" w:rsidP="006F0280">
      <w:pPr>
        <w:spacing w:after="120" w:line="240" w:lineRule="auto"/>
        <w:ind w:left="360"/>
        <w:jc w:val="both"/>
        <w:textAlignment w:val="baseline"/>
        <w:rPr>
          <w:rFonts w:ascii="Montserrat" w:eastAsia="Times New Roman" w:hAnsi="Montserrat" w:cs="Aptos"/>
          <w:b/>
          <w:bCs/>
          <w:color w:val="000000"/>
          <w:kern w:val="0"/>
          <w14:ligatures w14:val="none"/>
        </w:rPr>
      </w:pPr>
      <w:r>
        <w:rPr>
          <w:rFonts w:ascii="Montserrat" w:hAnsi="Montserrat"/>
          <w:b/>
          <w:bCs/>
          <w:color w:val="000000"/>
        </w:rPr>
        <w:t>Este nevoie de un plan de acțiune european pentru combaterea manei la cartofi!</w:t>
      </w:r>
    </w:p>
    <w:p w14:paraId="6906A55C" w14:textId="77777777" w:rsidR="006F0280" w:rsidRPr="00D17A1B" w:rsidRDefault="006F0280" w:rsidP="006F0280">
      <w:pPr>
        <w:spacing w:after="120"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000000"/>
          <w:sz w:val="20"/>
          <w:szCs w:val="20"/>
        </w:rPr>
        <w:t xml:space="preserve">Planul de acțiune va avea scopul de a: </w:t>
      </w:r>
    </w:p>
    <w:p w14:paraId="3F029F6D" w14:textId="77777777" w:rsidR="006F0280" w:rsidRPr="00D17A1B" w:rsidRDefault="006F0280" w:rsidP="006F0280">
      <w:pPr>
        <w:numPr>
          <w:ilvl w:val="0"/>
          <w:numId w:val="6"/>
        </w:numPr>
        <w:spacing w:after="120" w:line="240" w:lineRule="auto"/>
        <w:jc w:val="both"/>
        <w:textAlignment w:val="baseline"/>
        <w:rPr>
          <w:rFonts w:ascii="Montserrat" w:eastAsia="Times New Roman" w:hAnsi="Montserrat" w:cs="Aptos"/>
          <w:color w:val="000000"/>
          <w:kern w:val="0"/>
          <w:sz w:val="20"/>
          <w:szCs w:val="20"/>
          <w14:ligatures w14:val="none"/>
        </w:rPr>
      </w:pPr>
      <w:r>
        <w:rPr>
          <w:rFonts w:ascii="Montserrat" w:hAnsi="Montserrat"/>
          <w:b/>
          <w:bCs/>
          <w:color w:val="000000"/>
          <w:sz w:val="20"/>
          <w:szCs w:val="20"/>
        </w:rPr>
        <w:t>sensibiliza</w:t>
      </w:r>
      <w:r>
        <w:rPr>
          <w:rFonts w:ascii="Montserrat" w:hAnsi="Montserrat"/>
          <w:color w:val="000000"/>
          <w:sz w:val="20"/>
          <w:szCs w:val="20"/>
        </w:rPr>
        <w:t xml:space="preserve"> autoritățile publice naționale și europene și părțile interesate din lanțul valoric al cartofului cu privire la necesitatea de a aborda această problemă. </w:t>
      </w:r>
    </w:p>
    <w:p w14:paraId="62AAECBE" w14:textId="77777777" w:rsidR="006F0280" w:rsidRPr="00D17A1B" w:rsidRDefault="006F0280" w:rsidP="006F0280">
      <w:pPr>
        <w:numPr>
          <w:ilvl w:val="0"/>
          <w:numId w:val="6"/>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b/>
          <w:bCs/>
          <w:color w:val="000000"/>
          <w:sz w:val="20"/>
          <w:szCs w:val="20"/>
        </w:rPr>
        <w:t>elabora măsuri concrete</w:t>
      </w:r>
      <w:r>
        <w:rPr>
          <w:rFonts w:ascii="Montserrat" w:hAnsi="Montserrat"/>
          <w:color w:val="000000"/>
          <w:sz w:val="20"/>
          <w:szCs w:val="20"/>
        </w:rPr>
        <w:t xml:space="preserve"> </w:t>
      </w:r>
      <w:r>
        <w:rPr>
          <w:rFonts w:ascii="Montserrat" w:hAnsi="Montserrat"/>
          <w:b/>
          <w:bCs/>
          <w:color w:val="000000"/>
          <w:sz w:val="20"/>
          <w:szCs w:val="20"/>
        </w:rPr>
        <w:t>în strânsă colaborare cu Comisia Europeană, statele membre și părțile interesate</w:t>
      </w:r>
      <w:r>
        <w:rPr>
          <w:rFonts w:ascii="Montserrat" w:hAnsi="Montserrat"/>
          <w:color w:val="000000"/>
          <w:sz w:val="20"/>
          <w:szCs w:val="20"/>
        </w:rPr>
        <w:t>.</w:t>
      </w:r>
    </w:p>
    <w:p w14:paraId="52490E30" w14:textId="77777777" w:rsidR="006F0280" w:rsidRPr="00D17A1B" w:rsidRDefault="006F0280" w:rsidP="006F0280">
      <w:pPr>
        <w:numPr>
          <w:ilvl w:val="0"/>
          <w:numId w:val="6"/>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b/>
          <w:bCs/>
          <w:color w:val="000000"/>
          <w:sz w:val="20"/>
          <w:szCs w:val="20"/>
        </w:rPr>
        <w:t xml:space="preserve">recunoaște nevoia de instrumente sigure, eficiente și suficiente pentru a ține sub control mana cartofului, unde strategia integrată și orientată spre viitor este o combinație de soiuri cu o rezistență sporită și o protecție a culturii bine </w:t>
      </w:r>
      <w:r>
        <w:rPr>
          <w:rFonts w:ascii="Montserrat" w:hAnsi="Montserrat"/>
          <w:b/>
          <w:bCs/>
          <w:color w:val="000000"/>
          <w:sz w:val="20"/>
          <w:szCs w:val="20"/>
        </w:rPr>
        <w:lastRenderedPageBreak/>
        <w:t>monitorizată, alături de strategii robuste anti-rezistență</w:t>
      </w:r>
      <w:r>
        <w:rPr>
          <w:rFonts w:ascii="Montserrat" w:hAnsi="Montserrat"/>
          <w:color w:val="000000"/>
          <w:sz w:val="20"/>
          <w:szCs w:val="20"/>
        </w:rPr>
        <w:t xml:space="preserve"> pentru fungicide, pentru a combate tulpinile agresive de </w:t>
      </w:r>
      <w:proofErr w:type="spellStart"/>
      <w:r>
        <w:rPr>
          <w:rFonts w:ascii="Montserrat" w:hAnsi="Montserrat"/>
          <w:i/>
          <w:iCs/>
          <w:color w:val="000000"/>
          <w:sz w:val="20"/>
          <w:szCs w:val="20"/>
        </w:rPr>
        <w:t>Phytophthora</w:t>
      </w:r>
      <w:proofErr w:type="spellEnd"/>
      <w:r>
        <w:rPr>
          <w:rFonts w:ascii="Montserrat" w:hAnsi="Montserrat"/>
          <w:color w:val="000000"/>
          <w:sz w:val="20"/>
          <w:szCs w:val="20"/>
        </w:rPr>
        <w:t xml:space="preserve">, astfel încât agricultorii să poată asigura securitatea alimentară și hrăni populația mondială în creștere. </w:t>
      </w:r>
    </w:p>
    <w:p w14:paraId="57B2271F" w14:textId="77777777" w:rsidR="006F0280" w:rsidRPr="00D17A1B" w:rsidRDefault="006F0280" w:rsidP="006F0280">
      <w:pPr>
        <w:numPr>
          <w:ilvl w:val="0"/>
          <w:numId w:val="6"/>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b/>
          <w:bCs/>
          <w:sz w:val="20"/>
          <w:szCs w:val="20"/>
        </w:rPr>
        <w:t>acorda prioritate furnizării de informații coerente și sistemice</w:t>
      </w:r>
      <w:r>
        <w:rPr>
          <w:rFonts w:ascii="Montserrat" w:hAnsi="Montserrat"/>
          <w:sz w:val="20"/>
          <w:szCs w:val="20"/>
        </w:rPr>
        <w:t xml:space="preserve">. Informarea și consilierea fermierilor din UE trebuie să fie o prioritate pentru a asigura punerea în aplicare a unor strategii de control eficiente, bazate pe adoptarea celor mai recente rezultate ale cercetării și dezvoltării privind dinamica populației de </w:t>
      </w:r>
      <w:proofErr w:type="spellStart"/>
      <w:r>
        <w:rPr>
          <w:rFonts w:ascii="Montserrat" w:hAnsi="Montserrat"/>
          <w:i/>
          <w:iCs/>
          <w:sz w:val="20"/>
          <w:szCs w:val="20"/>
        </w:rPr>
        <w:t>Phytophthora</w:t>
      </w:r>
      <w:proofErr w:type="spellEnd"/>
      <w:r>
        <w:rPr>
          <w:rFonts w:ascii="Montserrat" w:hAnsi="Montserrat"/>
          <w:i/>
          <w:iCs/>
          <w:sz w:val="20"/>
          <w:szCs w:val="20"/>
        </w:rPr>
        <w:t xml:space="preserve"> </w:t>
      </w:r>
      <w:proofErr w:type="spellStart"/>
      <w:r>
        <w:rPr>
          <w:rFonts w:ascii="Montserrat" w:hAnsi="Montserrat"/>
          <w:i/>
          <w:iCs/>
          <w:sz w:val="20"/>
          <w:szCs w:val="20"/>
        </w:rPr>
        <w:t>infestans</w:t>
      </w:r>
      <w:proofErr w:type="spellEnd"/>
      <w:r>
        <w:rPr>
          <w:rFonts w:ascii="Montserrat" w:hAnsi="Montserrat"/>
          <w:sz w:val="20"/>
          <w:szCs w:val="20"/>
        </w:rPr>
        <w:t>. Ar trebui utilizate soiuri rezistente cu rezistență îmbunătățită, precum și strategii preventive și eficiente de gestionare a rezistenței la fungicide.</w:t>
      </w:r>
    </w:p>
    <w:p w14:paraId="6893A860" w14:textId="77777777" w:rsidR="006F0280" w:rsidRPr="00997B74" w:rsidRDefault="006F0280" w:rsidP="006F0280">
      <w:pPr>
        <w:spacing w:after="120" w:line="240" w:lineRule="auto"/>
        <w:ind w:left="360"/>
        <w:jc w:val="both"/>
        <w:textAlignment w:val="baseline"/>
        <w:rPr>
          <w:rFonts w:ascii="Montserrat" w:eastAsia="Times New Roman" w:hAnsi="Montserrat" w:cs="Aptos"/>
          <w:color w:val="000000"/>
          <w:kern w:val="0"/>
          <w14:ligatures w14:val="none"/>
        </w:rPr>
      </w:pPr>
      <w:r>
        <w:rPr>
          <w:rFonts w:ascii="Montserrat" w:hAnsi="Montserrat"/>
          <w:b/>
          <w:bCs/>
          <w:color w:val="000000"/>
        </w:rPr>
        <w:t>Planul de acțiune ar trebui să includă:</w:t>
      </w:r>
      <w:r>
        <w:rPr>
          <w:rFonts w:ascii="Montserrat" w:hAnsi="Montserrat"/>
          <w:color w:val="000000"/>
        </w:rPr>
        <w:t> </w:t>
      </w:r>
    </w:p>
    <w:p w14:paraId="03AF5C18" w14:textId="77777777" w:rsidR="006F0280" w:rsidRPr="00997B74" w:rsidRDefault="006F0280" w:rsidP="006F0280">
      <w:pPr>
        <w:spacing w:after="120" w:line="240" w:lineRule="auto"/>
        <w:ind w:left="360"/>
        <w:jc w:val="both"/>
        <w:textAlignment w:val="baseline"/>
        <w:rPr>
          <w:rFonts w:ascii="Montserrat" w:eastAsia="Times New Roman" w:hAnsi="Montserrat" w:cs="Aptos"/>
          <w:b/>
          <w:bCs/>
          <w:i/>
          <w:iCs/>
          <w:kern w:val="0"/>
          <w:sz w:val="22"/>
          <w:szCs w:val="22"/>
          <w14:ligatures w14:val="none"/>
        </w:rPr>
      </w:pPr>
      <w:r>
        <w:rPr>
          <w:rFonts w:ascii="Montserrat" w:hAnsi="Montserrat"/>
          <w:b/>
          <w:bCs/>
          <w:i/>
          <w:iCs/>
          <w:color w:val="000000"/>
          <w:sz w:val="22"/>
          <w:szCs w:val="22"/>
        </w:rPr>
        <w:t>Măsuri pe termen scurt</w:t>
      </w:r>
    </w:p>
    <w:p w14:paraId="796CC9CD" w14:textId="0BE09931" w:rsidR="006F0280" w:rsidRPr="00D17A1B" w:rsidRDefault="006F0280" w:rsidP="006F0280">
      <w:pPr>
        <w:numPr>
          <w:ilvl w:val="0"/>
          <w:numId w:val="1"/>
        </w:numPr>
        <w:spacing w:after="120" w:line="240" w:lineRule="auto"/>
        <w:ind w:hanging="357"/>
        <w:jc w:val="both"/>
        <w:textAlignment w:val="baseline"/>
        <w:rPr>
          <w:rFonts w:ascii="Montserrat" w:eastAsia="Times New Roman" w:hAnsi="Montserrat" w:cs="Aptos"/>
          <w:kern w:val="0"/>
          <w:sz w:val="20"/>
          <w:szCs w:val="20"/>
          <w14:ligatures w14:val="none"/>
        </w:rPr>
      </w:pPr>
      <w:r>
        <w:rPr>
          <w:rFonts w:ascii="Montserrat" w:hAnsi="Montserrat"/>
          <w:sz w:val="20"/>
          <w:szCs w:val="20"/>
        </w:rPr>
        <w:t xml:space="preserve">Crearea unei platforme de dialog cu părțile interesate pentru a discuta strategiile de combatere a manei cartofului și colaborarea cu grupurile și rețelele de cercetare științifică existente, cum ar fi </w:t>
      </w:r>
      <w:proofErr w:type="spellStart"/>
      <w:r>
        <w:rPr>
          <w:rFonts w:ascii="Montserrat" w:hAnsi="Montserrat"/>
          <w:sz w:val="20"/>
          <w:szCs w:val="20"/>
        </w:rPr>
        <w:t>EuroBlight</w:t>
      </w:r>
      <w:proofErr w:type="spellEnd"/>
      <w:r>
        <w:rPr>
          <w:rFonts w:ascii="Montserrat" w:hAnsi="Montserrat"/>
          <w:sz w:val="20"/>
          <w:szCs w:val="20"/>
        </w:rPr>
        <w:t>.</w:t>
      </w:r>
      <w:r w:rsidR="00517307" w:rsidRPr="00D17A1B">
        <w:rPr>
          <w:rStyle w:val="FootnoteReference"/>
          <w:rFonts w:ascii="Montserrat" w:eastAsia="Times New Roman" w:hAnsi="Montserrat" w:cs="Aptos"/>
          <w:kern w:val="0"/>
          <w:sz w:val="20"/>
          <w:szCs w:val="20"/>
          <w:lang w:val="en-GB" w:eastAsia="en-GB"/>
        </w:rPr>
        <w:footnoteReference w:id="3"/>
      </w:r>
      <w:r>
        <w:rPr>
          <w:rFonts w:ascii="Montserrat" w:hAnsi="Montserrat"/>
          <w:sz w:val="20"/>
          <w:szCs w:val="20"/>
          <w:vertAlign w:val="superscript"/>
        </w:rPr>
        <w:t xml:space="preserve">. </w:t>
      </w:r>
    </w:p>
    <w:p w14:paraId="5D86A971" w14:textId="77777777" w:rsidR="006F0280" w:rsidRPr="00D17A1B" w:rsidRDefault="006F0280" w:rsidP="006F0280">
      <w:pPr>
        <w:numPr>
          <w:ilvl w:val="0"/>
          <w:numId w:val="1"/>
        </w:numPr>
        <w:spacing w:after="120" w:line="240" w:lineRule="auto"/>
        <w:ind w:hanging="357"/>
        <w:contextualSpacing/>
        <w:jc w:val="both"/>
        <w:rPr>
          <w:rFonts w:ascii="Montserrat" w:eastAsia="Calibri" w:hAnsi="Montserrat" w:cs="Aptos"/>
          <w:kern w:val="0"/>
          <w:sz w:val="20"/>
          <w:szCs w:val="20"/>
          <w14:ligatures w14:val="none"/>
        </w:rPr>
      </w:pPr>
      <w:r>
        <w:rPr>
          <w:rFonts w:ascii="Montserrat" w:hAnsi="Montserrat"/>
          <w:color w:val="000000"/>
          <w:sz w:val="20"/>
          <w:szCs w:val="20"/>
        </w:rPr>
        <w:t>Setul de instrumente al agricultorilor trebuie să fie suficient de bine echipat:</w:t>
      </w:r>
    </w:p>
    <w:p w14:paraId="121F4A84" w14:textId="77777777" w:rsidR="006F0280" w:rsidRPr="00D17A1B" w:rsidRDefault="006F0280" w:rsidP="006F0280">
      <w:pPr>
        <w:numPr>
          <w:ilvl w:val="1"/>
          <w:numId w:val="1"/>
        </w:numPr>
        <w:spacing w:after="120" w:line="240" w:lineRule="auto"/>
        <w:ind w:hanging="357"/>
        <w:contextualSpacing/>
        <w:jc w:val="both"/>
        <w:rPr>
          <w:rFonts w:ascii="Montserrat" w:eastAsia="Calibri" w:hAnsi="Montserrat" w:cs="Aptos"/>
          <w:kern w:val="0"/>
          <w:sz w:val="20"/>
          <w:szCs w:val="20"/>
          <w14:ligatures w14:val="none"/>
        </w:rPr>
      </w:pPr>
      <w:r>
        <w:rPr>
          <w:rFonts w:ascii="Montserrat" w:hAnsi="Montserrat"/>
          <w:sz w:val="20"/>
          <w:szCs w:val="20"/>
        </w:rPr>
        <w:t xml:space="preserve">Monitorizarea izolatelor de </w:t>
      </w:r>
      <w:proofErr w:type="spellStart"/>
      <w:r>
        <w:rPr>
          <w:rFonts w:ascii="Montserrat" w:hAnsi="Montserrat"/>
          <w:i/>
          <w:iCs/>
          <w:sz w:val="20"/>
          <w:szCs w:val="20"/>
        </w:rPr>
        <w:t>Phytophthora</w:t>
      </w:r>
      <w:proofErr w:type="spellEnd"/>
      <w:r>
        <w:rPr>
          <w:rFonts w:ascii="Montserrat" w:hAnsi="Montserrat"/>
          <w:sz w:val="20"/>
          <w:szCs w:val="20"/>
        </w:rPr>
        <w:t xml:space="preserve"> trebuie să fie rapidă pentru a aplica strategia corectă de protecție a culturilor.</w:t>
      </w:r>
    </w:p>
    <w:p w14:paraId="557A6419" w14:textId="77777777" w:rsidR="006F0280" w:rsidRPr="00D17A1B" w:rsidRDefault="006F0280" w:rsidP="006F0280">
      <w:pPr>
        <w:numPr>
          <w:ilvl w:val="1"/>
          <w:numId w:val="1"/>
        </w:numPr>
        <w:spacing w:after="120" w:line="240" w:lineRule="auto"/>
        <w:ind w:hanging="357"/>
        <w:contextualSpacing/>
        <w:jc w:val="both"/>
        <w:rPr>
          <w:rFonts w:ascii="Montserrat" w:eastAsia="Calibri" w:hAnsi="Montserrat" w:cs="Aptos"/>
          <w:kern w:val="0"/>
          <w:sz w:val="20"/>
          <w:szCs w:val="20"/>
          <w14:ligatures w14:val="none"/>
        </w:rPr>
      </w:pPr>
      <w:r>
        <w:rPr>
          <w:rFonts w:ascii="Montserrat" w:hAnsi="Montserrat"/>
          <w:color w:val="000000"/>
          <w:sz w:val="20"/>
          <w:szCs w:val="20"/>
        </w:rPr>
        <w:t>Fungicidele existente ar trebui să fie testate din nou în ceea ce privește eficacitatea împotriva noilor tulpini de mană prin teste extinse pe mai mulți ani, întrucât în fiecare an apar noi tulpini.</w:t>
      </w:r>
    </w:p>
    <w:p w14:paraId="535EEB1F" w14:textId="77777777" w:rsidR="006F0280" w:rsidRPr="00D17A1B" w:rsidRDefault="006F0280" w:rsidP="006F0280">
      <w:pPr>
        <w:numPr>
          <w:ilvl w:val="1"/>
          <w:numId w:val="1"/>
        </w:numPr>
        <w:spacing w:after="120" w:line="240" w:lineRule="auto"/>
        <w:ind w:hanging="357"/>
        <w:contextualSpacing/>
        <w:jc w:val="both"/>
        <w:rPr>
          <w:rFonts w:ascii="Montserrat" w:eastAsia="Calibri" w:hAnsi="Montserrat" w:cs="Aptos"/>
          <w:kern w:val="0"/>
          <w:sz w:val="20"/>
          <w:szCs w:val="20"/>
          <w14:ligatures w14:val="none"/>
        </w:rPr>
      </w:pPr>
      <w:r>
        <w:rPr>
          <w:rFonts w:ascii="Montserrat" w:hAnsi="Montserrat"/>
          <w:color w:val="000000"/>
          <w:sz w:val="20"/>
          <w:szCs w:val="20"/>
        </w:rPr>
        <w:t>Fungicidele cu cinci moduri de acțiune diferite trebuie să fie puse la dispoziția agricultorilor. Modul de acțiune al diferitelor fungicide ar trebui să fie identificat în mod clar de către fermieri (tabel sinoptic).</w:t>
      </w:r>
    </w:p>
    <w:p w14:paraId="7B6EEE82" w14:textId="77777777" w:rsidR="006F0280" w:rsidRPr="00D17A1B" w:rsidRDefault="006F0280" w:rsidP="006F0280">
      <w:pPr>
        <w:numPr>
          <w:ilvl w:val="1"/>
          <w:numId w:val="1"/>
        </w:numPr>
        <w:spacing w:after="120" w:line="240" w:lineRule="auto"/>
        <w:ind w:hanging="357"/>
        <w:contextualSpacing/>
        <w:jc w:val="both"/>
        <w:rPr>
          <w:rFonts w:ascii="Montserrat" w:eastAsia="Calibri" w:hAnsi="Montserrat" w:cs="Aptos"/>
          <w:kern w:val="0"/>
          <w:sz w:val="20"/>
          <w:szCs w:val="20"/>
          <w14:ligatures w14:val="none"/>
        </w:rPr>
      </w:pPr>
      <w:r>
        <w:rPr>
          <w:rFonts w:ascii="Montserrat" w:hAnsi="Montserrat"/>
          <w:color w:val="000000"/>
          <w:sz w:val="20"/>
          <w:szCs w:val="20"/>
        </w:rPr>
        <w:t>Fungicidele disponibile în prezent nu ar trebui să fie interzise sau restricționate fără o analiză adecvată a raportului riscuri/beneficii și fără să fie disponibilă pe piață o alternativă similară, eficientă, durabilă și accesibilă, cu cel puțin același nivel de eficacitate. Trebuie păstrate fungicidele care susțin cel puțin cinci moduri de acțiune foarte eficiente pentru a asigura gestionarea eficientă a rezistenței la fungicide de către agricultori.</w:t>
      </w:r>
    </w:p>
    <w:p w14:paraId="69C0E0CB" w14:textId="57DF27E9" w:rsidR="006F0280" w:rsidRPr="00D17A1B" w:rsidRDefault="006F0280" w:rsidP="00F611A9">
      <w:pPr>
        <w:numPr>
          <w:ilvl w:val="1"/>
          <w:numId w:val="1"/>
        </w:numPr>
        <w:spacing w:after="120" w:line="240" w:lineRule="auto"/>
        <w:ind w:hanging="357"/>
        <w:contextualSpacing/>
        <w:jc w:val="both"/>
        <w:rPr>
          <w:rFonts w:ascii="Montserrat" w:eastAsia="Calibri" w:hAnsi="Montserrat" w:cs="Aptos"/>
          <w:kern w:val="0"/>
          <w:sz w:val="20"/>
          <w:szCs w:val="20"/>
          <w14:ligatures w14:val="none"/>
        </w:rPr>
      </w:pPr>
      <w:r>
        <w:rPr>
          <w:rFonts w:ascii="Montserrat" w:hAnsi="Montserrat"/>
          <w:color w:val="000000"/>
          <w:sz w:val="20"/>
          <w:szCs w:val="20"/>
        </w:rPr>
        <w:t>Comunicarea</w:t>
      </w:r>
      <w:r>
        <w:rPr>
          <w:sz w:val="20"/>
          <w:szCs w:val="20"/>
        </w:rPr>
        <w:t xml:space="preserve"> </w:t>
      </w:r>
      <w:r>
        <w:rPr>
          <w:rFonts w:ascii="Segoe UI" w:hAnsi="Segoe UI"/>
          <w:sz w:val="20"/>
          <w:szCs w:val="20"/>
        </w:rPr>
        <w:t>cu</w:t>
      </w:r>
      <w:r>
        <w:rPr>
          <w:sz w:val="20"/>
          <w:szCs w:val="20"/>
        </w:rPr>
        <w:t xml:space="preserve"> </w:t>
      </w:r>
      <w:r>
        <w:rPr>
          <w:rFonts w:ascii="Montserrat" w:hAnsi="Montserrat"/>
          <w:sz w:val="20"/>
          <w:szCs w:val="20"/>
        </w:rPr>
        <w:t>agricultorii despre gestionarea integrată a dăunătorilor (IPM), inclusiv despre strategii pentru a preveni distrugerea genelor de rezistență la mană</w:t>
      </w:r>
      <w:r>
        <w:rPr>
          <w:rFonts w:ascii="Segoe UI" w:hAnsi="Segoe UI"/>
          <w:sz w:val="20"/>
          <w:szCs w:val="20"/>
        </w:rPr>
        <w:t xml:space="preserve">, </w:t>
      </w:r>
      <w:r>
        <w:rPr>
          <w:rFonts w:ascii="Montserrat" w:hAnsi="Montserrat"/>
          <w:sz w:val="20"/>
          <w:szCs w:val="20"/>
        </w:rPr>
        <w:t>pe baza rezultatelor științifice și a modelelor, precum și a orientărilor FRAC</w:t>
      </w:r>
      <w:r w:rsidR="00517307" w:rsidRPr="00D17A1B">
        <w:rPr>
          <w:rStyle w:val="FootnoteReference"/>
          <w:rFonts w:ascii="Montserrat" w:eastAsia="Calibri" w:hAnsi="Montserrat" w:cs="Aptos"/>
          <w:kern w:val="0"/>
          <w:sz w:val="20"/>
          <w:szCs w:val="20"/>
          <w:lang w:val="en-US" w:eastAsia="fr-BE"/>
        </w:rPr>
        <w:footnoteReference w:id="4"/>
      </w:r>
      <w:r>
        <w:rPr>
          <w:rFonts w:ascii="Montserrat" w:hAnsi="Montserrat"/>
          <w:sz w:val="20"/>
          <w:szCs w:val="20"/>
        </w:rPr>
        <w:t xml:space="preserve">. </w:t>
      </w:r>
    </w:p>
    <w:p w14:paraId="277CB76B" w14:textId="77777777" w:rsidR="006F0280" w:rsidRPr="00D17A1B" w:rsidRDefault="006F0280" w:rsidP="006F0280">
      <w:pPr>
        <w:numPr>
          <w:ilvl w:val="1"/>
          <w:numId w:val="1"/>
        </w:numPr>
        <w:spacing w:after="120" w:line="240" w:lineRule="auto"/>
        <w:ind w:hanging="357"/>
        <w:contextualSpacing/>
        <w:jc w:val="both"/>
        <w:textAlignment w:val="baseline"/>
        <w:rPr>
          <w:rFonts w:ascii="Montserrat" w:eastAsia="Calibri" w:hAnsi="Montserrat" w:cs="Aptos"/>
          <w:kern w:val="0"/>
          <w:sz w:val="20"/>
          <w:szCs w:val="20"/>
          <w14:ligatures w14:val="none"/>
        </w:rPr>
      </w:pPr>
      <w:r>
        <w:rPr>
          <w:rFonts w:ascii="Montserrat" w:hAnsi="Montserrat"/>
          <w:sz w:val="20"/>
          <w:szCs w:val="20"/>
        </w:rPr>
        <w:t>Utilizarea unui sistem de asistență decizională (DSS), inclusiv a unor recomandări flexibile de pulverizare în termeni de intervale și de doze depinde de presiunea bolii.</w:t>
      </w:r>
    </w:p>
    <w:p w14:paraId="76955E62" w14:textId="77777777" w:rsidR="006F0280" w:rsidRPr="00D17A1B" w:rsidRDefault="006F0280" w:rsidP="006F0280">
      <w:pPr>
        <w:numPr>
          <w:ilvl w:val="0"/>
          <w:numId w:val="1"/>
        </w:numPr>
        <w:spacing w:after="120" w:line="240" w:lineRule="auto"/>
        <w:ind w:hanging="357"/>
        <w:contextualSpacing/>
        <w:jc w:val="both"/>
        <w:textAlignment w:val="baseline"/>
        <w:rPr>
          <w:rFonts w:ascii="Montserrat" w:eastAsia="Calibri" w:hAnsi="Montserrat" w:cs="Aptos"/>
          <w:kern w:val="0"/>
          <w:sz w:val="20"/>
          <w:szCs w:val="20"/>
          <w14:ligatures w14:val="none"/>
        </w:rPr>
      </w:pPr>
      <w:r>
        <w:rPr>
          <w:rFonts w:ascii="Montserrat" w:hAnsi="Montserrat"/>
          <w:sz w:val="20"/>
          <w:szCs w:val="20"/>
        </w:rPr>
        <w:t>Măsurile pe termen scurt în detaliu:</w:t>
      </w:r>
    </w:p>
    <w:p w14:paraId="5B52BFA0" w14:textId="77777777" w:rsidR="006F0280" w:rsidRPr="00D17A1B" w:rsidRDefault="006F0280" w:rsidP="006F0280">
      <w:pPr>
        <w:numPr>
          <w:ilvl w:val="1"/>
          <w:numId w:val="1"/>
        </w:numPr>
        <w:spacing w:after="120" w:line="240" w:lineRule="auto"/>
        <w:ind w:hanging="357"/>
        <w:contextualSpacing/>
        <w:jc w:val="both"/>
        <w:textAlignment w:val="baseline"/>
        <w:rPr>
          <w:rFonts w:ascii="Montserrat" w:eastAsia="Calibri" w:hAnsi="Montserrat" w:cs="Aptos"/>
          <w:kern w:val="0"/>
          <w:sz w:val="20"/>
          <w:szCs w:val="20"/>
          <w14:ligatures w14:val="none"/>
        </w:rPr>
      </w:pPr>
      <w:r>
        <w:rPr>
          <w:rFonts w:ascii="Montserrat" w:hAnsi="Montserrat"/>
          <w:color w:val="000000"/>
          <w:sz w:val="20"/>
          <w:szCs w:val="20"/>
        </w:rPr>
        <w:t>Promovarea celor mai bune practici de gestionare agricolă:</w:t>
      </w:r>
    </w:p>
    <w:p w14:paraId="108E37DE" w14:textId="77777777" w:rsidR="006F0280" w:rsidRPr="00D17A1B" w:rsidRDefault="006F0280" w:rsidP="006F0280">
      <w:pPr>
        <w:numPr>
          <w:ilvl w:val="2"/>
          <w:numId w:val="1"/>
        </w:numPr>
        <w:spacing w:after="120" w:line="240" w:lineRule="auto"/>
        <w:ind w:hanging="357"/>
        <w:contextualSpacing/>
        <w:jc w:val="both"/>
        <w:textAlignment w:val="baseline"/>
        <w:rPr>
          <w:rFonts w:ascii="Montserrat" w:eastAsia="Calibri" w:hAnsi="Montserrat" w:cs="Aptos"/>
          <w:kern w:val="0"/>
          <w:sz w:val="20"/>
          <w:szCs w:val="20"/>
          <w14:ligatures w14:val="none"/>
        </w:rPr>
      </w:pPr>
      <w:r>
        <w:rPr>
          <w:rFonts w:ascii="Montserrat" w:hAnsi="Montserrat"/>
          <w:color w:val="000000"/>
          <w:sz w:val="20"/>
          <w:szCs w:val="20"/>
        </w:rPr>
        <w:t xml:space="preserve">Măsuri de prevenție precum rotația culturilor și controlul eficient al </w:t>
      </w:r>
      <w:proofErr w:type="spellStart"/>
      <w:r>
        <w:rPr>
          <w:rFonts w:ascii="Montserrat" w:hAnsi="Montserrat"/>
          <w:color w:val="000000"/>
          <w:sz w:val="20"/>
          <w:szCs w:val="20"/>
        </w:rPr>
        <w:t>inoculului</w:t>
      </w:r>
      <w:proofErr w:type="spellEnd"/>
      <w:r>
        <w:rPr>
          <w:rFonts w:ascii="Montserrat" w:hAnsi="Montserrat"/>
          <w:color w:val="000000"/>
          <w:sz w:val="20"/>
          <w:szCs w:val="20"/>
        </w:rPr>
        <w:t xml:space="preserve"> de </w:t>
      </w:r>
      <w:proofErr w:type="spellStart"/>
      <w:r>
        <w:rPr>
          <w:rFonts w:ascii="Montserrat" w:hAnsi="Montserrat"/>
          <w:i/>
          <w:iCs/>
          <w:color w:val="000000"/>
          <w:sz w:val="20"/>
          <w:szCs w:val="20"/>
        </w:rPr>
        <w:t>Phytophthora</w:t>
      </w:r>
      <w:proofErr w:type="spellEnd"/>
      <w:r>
        <w:rPr>
          <w:rFonts w:ascii="Montserrat" w:hAnsi="Montserrat"/>
          <w:color w:val="000000"/>
          <w:sz w:val="20"/>
          <w:szCs w:val="20"/>
        </w:rPr>
        <w:t xml:space="preserve"> (plante spontane de cartof, depozite de deșeuri, oospori). Primul pas într-o strategie de control integrat pentru combaterea manei cartofului este reducerea surselor primare de </w:t>
      </w:r>
      <w:proofErr w:type="spellStart"/>
      <w:r>
        <w:rPr>
          <w:rFonts w:ascii="Montserrat" w:hAnsi="Montserrat"/>
          <w:color w:val="000000"/>
          <w:sz w:val="20"/>
          <w:szCs w:val="20"/>
        </w:rPr>
        <w:t>inocul</w:t>
      </w:r>
      <w:proofErr w:type="spellEnd"/>
      <w:r>
        <w:rPr>
          <w:rFonts w:ascii="Montserrat" w:hAnsi="Montserrat"/>
          <w:color w:val="000000"/>
          <w:sz w:val="20"/>
          <w:szCs w:val="20"/>
        </w:rPr>
        <w:t>, de exemplu, acoperirea gropilor de gunoi cu plastic negru pentru a reduce eliberarea sporilor în culturile viitoare și pentru a controla plantele spontane de cartof.</w:t>
      </w:r>
    </w:p>
    <w:p w14:paraId="3B01F1DA" w14:textId="77777777" w:rsidR="006F0280" w:rsidRPr="00D17A1B" w:rsidRDefault="006F0280" w:rsidP="006F0280">
      <w:pPr>
        <w:numPr>
          <w:ilvl w:val="2"/>
          <w:numId w:val="1"/>
        </w:numPr>
        <w:spacing w:after="120" w:line="240" w:lineRule="auto"/>
        <w:ind w:hanging="357"/>
        <w:contextualSpacing/>
        <w:jc w:val="both"/>
        <w:textAlignment w:val="baseline"/>
        <w:rPr>
          <w:rFonts w:ascii="Montserrat" w:eastAsia="Calibri" w:hAnsi="Montserrat" w:cs="Aptos"/>
          <w:kern w:val="0"/>
          <w:sz w:val="20"/>
          <w:szCs w:val="20"/>
          <w14:ligatures w14:val="none"/>
        </w:rPr>
      </w:pPr>
      <w:r>
        <w:rPr>
          <w:rFonts w:ascii="Montserrat" w:hAnsi="Montserrat"/>
          <w:color w:val="000000"/>
          <w:sz w:val="20"/>
          <w:szCs w:val="20"/>
        </w:rPr>
        <w:t xml:space="preserve">protecția culturilor: alegerea fungicidului utilizat trebuie adaptată la stadiul culturii, la presiunea bolii și la condițiile meteorologice și trebuie utilizate amestecuri, alternând fungicide cu moduri de acțiune diferite, la doza maximă recomandată de furnizor, pentru a </w:t>
      </w:r>
      <w:r>
        <w:rPr>
          <w:rFonts w:ascii="Montserrat" w:hAnsi="Montserrat"/>
          <w:color w:val="000000"/>
          <w:sz w:val="20"/>
          <w:szCs w:val="20"/>
        </w:rPr>
        <w:lastRenderedPageBreak/>
        <w:t xml:space="preserve">evita selecția de tulpini rezistente, de exemplu: „The Color scheme for </w:t>
      </w:r>
      <w:proofErr w:type="spellStart"/>
      <w:r>
        <w:rPr>
          <w:rFonts w:ascii="Montserrat" w:hAnsi="Montserrat"/>
          <w:color w:val="000000"/>
          <w:sz w:val="20"/>
          <w:szCs w:val="20"/>
        </w:rPr>
        <w:t>testing</w:t>
      </w:r>
      <w:proofErr w:type="spellEnd"/>
      <w:r>
        <w:rPr>
          <w:rFonts w:ascii="Montserrat" w:hAnsi="Montserrat"/>
          <w:color w:val="000000"/>
          <w:sz w:val="20"/>
          <w:szCs w:val="20"/>
        </w:rPr>
        <w:t xml:space="preserve"> pesticide </w:t>
      </w:r>
      <w:proofErr w:type="spellStart"/>
      <w:r>
        <w:rPr>
          <w:rFonts w:ascii="Montserrat" w:hAnsi="Montserrat"/>
          <w:color w:val="000000"/>
          <w:sz w:val="20"/>
          <w:szCs w:val="20"/>
        </w:rPr>
        <w:t>use</w:t>
      </w:r>
      <w:proofErr w:type="spellEnd"/>
      <w:r>
        <w:rPr>
          <w:rFonts w:ascii="Montserrat" w:hAnsi="Montserrat"/>
          <w:color w:val="000000"/>
          <w:sz w:val="20"/>
          <w:szCs w:val="20"/>
        </w:rPr>
        <w:t xml:space="preserve"> on </w:t>
      </w:r>
      <w:proofErr w:type="spellStart"/>
      <w:r>
        <w:rPr>
          <w:rFonts w:ascii="Montserrat" w:hAnsi="Montserrat"/>
          <w:i/>
          <w:iCs/>
          <w:color w:val="000000"/>
          <w:sz w:val="20"/>
          <w:szCs w:val="20"/>
        </w:rPr>
        <w:t>Phytophthora</w:t>
      </w:r>
      <w:proofErr w:type="spellEnd"/>
      <w:r>
        <w:rPr>
          <w:rFonts w:ascii="Montserrat" w:hAnsi="Montserrat"/>
          <w:color w:val="000000"/>
          <w:sz w:val="20"/>
          <w:szCs w:val="20"/>
        </w:rPr>
        <w:t>” în Olanda</w:t>
      </w:r>
      <w:r w:rsidRPr="00D17A1B">
        <w:rPr>
          <w:rFonts w:ascii="Montserrat" w:eastAsia="Calibri" w:hAnsi="Montserrat" w:cs="Aptos"/>
          <w:color w:val="0000FF"/>
          <w:kern w:val="0"/>
          <w:sz w:val="20"/>
          <w:szCs w:val="20"/>
          <w:u w:val="single"/>
          <w:vertAlign w:val="superscript"/>
          <w:lang w:val="en-US" w:eastAsia="fr-BE"/>
        </w:rPr>
        <w:footnoteReference w:id="5"/>
      </w:r>
      <w:r>
        <w:rPr>
          <w:rFonts w:ascii="Montserrat" w:hAnsi="Montserrat"/>
          <w:color w:val="0563C1"/>
          <w:sz w:val="20"/>
          <w:szCs w:val="20"/>
          <w:u w:val="single"/>
        </w:rPr>
        <w:t>.</w:t>
      </w:r>
    </w:p>
    <w:p w14:paraId="54A8067F" w14:textId="77777777" w:rsidR="006F0280" w:rsidRPr="00D17A1B" w:rsidRDefault="006F0280" w:rsidP="006F0280">
      <w:pPr>
        <w:numPr>
          <w:ilvl w:val="0"/>
          <w:numId w:val="1"/>
        </w:numPr>
        <w:spacing w:after="120" w:line="240" w:lineRule="auto"/>
        <w:ind w:hanging="357"/>
        <w:jc w:val="both"/>
        <w:textAlignment w:val="baseline"/>
        <w:rPr>
          <w:rFonts w:ascii="Montserrat" w:eastAsia="Aptos" w:hAnsi="Montserrat" w:cs="Aptos"/>
          <w:sz w:val="20"/>
          <w:szCs w:val="20"/>
          <w14:ligatures w14:val="none"/>
        </w:rPr>
      </w:pPr>
      <w:r>
        <w:rPr>
          <w:rFonts w:ascii="Montserrat" w:hAnsi="Montserrat"/>
          <w:color w:val="000000"/>
          <w:sz w:val="20"/>
          <w:szCs w:val="20"/>
        </w:rPr>
        <w:t>Dezvoltarea unor instrumente armonizate și colaborarea între autoritățile statelor membre pentru a evita diferențele între soluțiile disponibile în diferitele state membre în vederea eliminării selecției și a răspândirii tulpinilor rezistente.</w:t>
      </w:r>
    </w:p>
    <w:p w14:paraId="60E7F4A3" w14:textId="17C25270" w:rsidR="00551B94" w:rsidRPr="003C3738" w:rsidRDefault="00551B94" w:rsidP="00E667DC">
      <w:pPr>
        <w:pStyle w:val="paragraph"/>
        <w:numPr>
          <w:ilvl w:val="0"/>
          <w:numId w:val="1"/>
        </w:numPr>
        <w:spacing w:before="0" w:beforeAutospacing="0" w:after="120" w:afterAutospacing="0"/>
        <w:textAlignment w:val="baseline"/>
        <w:rPr>
          <w:rStyle w:val="normaltextrun"/>
          <w:rFonts w:ascii="Montserrat" w:eastAsiaTheme="majorEastAsia" w:hAnsi="Montserrat" w:cstheme="minorHAnsi"/>
          <w:sz w:val="20"/>
          <w:szCs w:val="20"/>
        </w:rPr>
      </w:pPr>
      <w:r>
        <w:rPr>
          <w:rStyle w:val="normaltextrun"/>
          <w:rFonts w:ascii="Montserrat" w:hAnsi="Montserrat"/>
          <w:color w:val="000000"/>
          <w:sz w:val="20"/>
          <w:szCs w:val="20"/>
        </w:rPr>
        <w:t xml:space="preserve">Evidențierea faptului că soiurile de cartofi rezistente la mana cartofului reprezintă un aspect important, parte din orice soluție. În prezent, soiurile rezistente conțin în mare parte o singură genă de rezistență (gena R), care este foarte probabil să fie ocolită. Obiectivul pe termen lung este de a edita diferite gene pentru a reduce cât mai mult cu putință riscul ca genele rezistente să nu fie incluse și pentru a obține soiuri durabile rezistente la mana cartofului. Prin urmare, trebuie să se continue ameliorarea convențională cu sprijinul selecției asistate de </w:t>
      </w:r>
      <w:proofErr w:type="spellStart"/>
      <w:r>
        <w:rPr>
          <w:rStyle w:val="normaltextrun"/>
          <w:rFonts w:ascii="Montserrat" w:hAnsi="Montserrat"/>
          <w:color w:val="000000"/>
          <w:sz w:val="20"/>
          <w:szCs w:val="20"/>
        </w:rPr>
        <w:t>markeri</w:t>
      </w:r>
      <w:proofErr w:type="spellEnd"/>
      <w:r>
        <w:rPr>
          <w:rStyle w:val="normaltextrun"/>
          <w:rFonts w:ascii="Montserrat" w:hAnsi="Montserrat"/>
          <w:color w:val="000000"/>
          <w:sz w:val="20"/>
          <w:szCs w:val="20"/>
        </w:rPr>
        <w:t>.</w:t>
      </w:r>
    </w:p>
    <w:p w14:paraId="2E76A7C8" w14:textId="77777777" w:rsidR="006F0280" w:rsidRPr="00997B74" w:rsidRDefault="006F0280" w:rsidP="006F0280">
      <w:pPr>
        <w:numPr>
          <w:ilvl w:val="0"/>
          <w:numId w:val="1"/>
        </w:numPr>
        <w:spacing w:after="120" w:line="240" w:lineRule="auto"/>
        <w:ind w:hanging="357"/>
        <w:jc w:val="both"/>
        <w:textAlignment w:val="baseline"/>
        <w:rPr>
          <w:rFonts w:ascii="Montserrat" w:eastAsia="Times New Roman" w:hAnsi="Montserrat" w:cs="Aptos"/>
          <w:kern w:val="0"/>
          <w:sz w:val="20"/>
          <w:szCs w:val="20"/>
          <w14:ligatures w14:val="none"/>
        </w:rPr>
      </w:pPr>
      <w:r>
        <w:rPr>
          <w:rFonts w:ascii="Montserrat" w:hAnsi="Montserrat"/>
          <w:sz w:val="20"/>
          <w:szCs w:val="20"/>
        </w:rPr>
        <w:t>Sensibilizarea distribuitorilor și a partenerilor de pe lanțul valoric cu privire la necesitatea de a promova însămânțarea diferitelor soiuri disponibile de cartofi rezistenți la mana cartofului.</w:t>
      </w:r>
    </w:p>
    <w:p w14:paraId="190F5E8D" w14:textId="77777777" w:rsidR="006F0280" w:rsidRPr="00997B74" w:rsidRDefault="006F0280" w:rsidP="006F0280">
      <w:pPr>
        <w:spacing w:after="120" w:line="240" w:lineRule="auto"/>
        <w:ind w:left="360"/>
        <w:jc w:val="both"/>
        <w:rPr>
          <w:rFonts w:ascii="Montserrat" w:eastAsia="Calibri" w:hAnsi="Montserrat" w:cs="Aptos"/>
          <w:b/>
          <w:bCs/>
          <w:i/>
          <w:iCs/>
          <w:kern w:val="0"/>
          <w:sz w:val="22"/>
          <w:szCs w:val="22"/>
          <w14:ligatures w14:val="none"/>
        </w:rPr>
      </w:pPr>
      <w:r>
        <w:rPr>
          <w:rFonts w:ascii="Montserrat" w:hAnsi="Montserrat"/>
          <w:b/>
          <w:bCs/>
          <w:i/>
          <w:iCs/>
          <w:sz w:val="22"/>
          <w:szCs w:val="22"/>
        </w:rPr>
        <w:t>Măsuri pe termen mediu</w:t>
      </w:r>
    </w:p>
    <w:p w14:paraId="7DAB1837" w14:textId="77777777" w:rsidR="006F0280" w:rsidRPr="00D17A1B" w:rsidRDefault="006F0280" w:rsidP="006F0280">
      <w:pPr>
        <w:numPr>
          <w:ilvl w:val="0"/>
          <w:numId w:val="2"/>
        </w:numPr>
        <w:spacing w:after="120" w:line="240" w:lineRule="auto"/>
        <w:ind w:left="714" w:hanging="357"/>
        <w:jc w:val="both"/>
        <w:textAlignment w:val="baseline"/>
        <w:rPr>
          <w:rFonts w:ascii="Montserrat" w:eastAsia="Aptos" w:hAnsi="Montserrat" w:cs="Times New Roman"/>
          <w:sz w:val="20"/>
          <w:szCs w:val="20"/>
          <w14:ligatures w14:val="none"/>
        </w:rPr>
      </w:pPr>
      <w:r>
        <w:rPr>
          <w:rFonts w:ascii="Montserrat" w:hAnsi="Montserrat"/>
          <w:sz w:val="20"/>
          <w:szCs w:val="20"/>
        </w:rPr>
        <w:t xml:space="preserve">Monitorizarea populațiilor de </w:t>
      </w:r>
      <w:proofErr w:type="spellStart"/>
      <w:r>
        <w:rPr>
          <w:rFonts w:ascii="Montserrat" w:hAnsi="Montserrat"/>
          <w:i/>
          <w:iCs/>
          <w:sz w:val="20"/>
          <w:szCs w:val="20"/>
        </w:rPr>
        <w:t>Phytophthora</w:t>
      </w:r>
      <w:proofErr w:type="spellEnd"/>
      <w:r>
        <w:rPr>
          <w:rFonts w:ascii="Montserrat" w:hAnsi="Montserrat"/>
          <w:i/>
          <w:iCs/>
          <w:sz w:val="20"/>
          <w:szCs w:val="20"/>
        </w:rPr>
        <w:t xml:space="preserve"> </w:t>
      </w:r>
      <w:proofErr w:type="spellStart"/>
      <w:r>
        <w:rPr>
          <w:rFonts w:ascii="Montserrat" w:hAnsi="Montserrat"/>
          <w:i/>
          <w:iCs/>
          <w:sz w:val="20"/>
          <w:szCs w:val="20"/>
        </w:rPr>
        <w:t>infestans</w:t>
      </w:r>
      <w:proofErr w:type="spellEnd"/>
      <w:r>
        <w:rPr>
          <w:rFonts w:ascii="Montserrat" w:hAnsi="Montserrat"/>
          <w:sz w:val="20"/>
          <w:szCs w:val="20"/>
        </w:rPr>
        <w:t>.</w:t>
      </w:r>
    </w:p>
    <w:p w14:paraId="27CD03BF" w14:textId="77777777" w:rsidR="006F0280" w:rsidRPr="00D17A1B" w:rsidRDefault="006F0280" w:rsidP="006F0280">
      <w:pPr>
        <w:numPr>
          <w:ilvl w:val="0"/>
          <w:numId w:val="2"/>
        </w:numPr>
        <w:spacing w:after="120" w:line="240" w:lineRule="auto"/>
        <w:ind w:left="714" w:hanging="357"/>
        <w:jc w:val="both"/>
        <w:textAlignment w:val="baseline"/>
        <w:rPr>
          <w:rFonts w:ascii="Montserrat" w:eastAsia="Times New Roman" w:hAnsi="Montserrat" w:cs="Times New Roman"/>
          <w:kern w:val="0"/>
          <w:sz w:val="20"/>
          <w:szCs w:val="20"/>
          <w14:ligatures w14:val="none"/>
        </w:rPr>
      </w:pPr>
      <w:r>
        <w:rPr>
          <w:rFonts w:ascii="Montserrat" w:hAnsi="Montserrat"/>
          <w:sz w:val="20"/>
          <w:szCs w:val="20"/>
        </w:rPr>
        <w:t>Elaborarea unei abordări coordonate din partea sectorului de protecție a culturilor și a amelioratorilor. Cel mai eficient mod de a controla răspândirea manei este utilizarea combinată a unor produse fitosanitare eficiente și a unor soiuri de cartofi rezistente, care combină diferite gene rezistente.</w:t>
      </w:r>
    </w:p>
    <w:p w14:paraId="7F158356" w14:textId="77777777" w:rsidR="006F0280" w:rsidRPr="00D17A1B" w:rsidRDefault="006F0280" w:rsidP="006F0280">
      <w:pPr>
        <w:numPr>
          <w:ilvl w:val="0"/>
          <w:numId w:val="2"/>
        </w:numPr>
        <w:spacing w:after="120" w:line="240" w:lineRule="auto"/>
        <w:ind w:left="714" w:hanging="357"/>
        <w:jc w:val="both"/>
        <w:textAlignment w:val="baseline"/>
        <w:rPr>
          <w:rFonts w:ascii="Montserrat" w:eastAsia="Times New Roman" w:hAnsi="Montserrat" w:cs="Times New Roman"/>
          <w:kern w:val="0"/>
          <w:sz w:val="20"/>
          <w:szCs w:val="20"/>
          <w14:ligatures w14:val="none"/>
        </w:rPr>
      </w:pPr>
      <w:r>
        <w:rPr>
          <w:rFonts w:ascii="Montserrat" w:hAnsi="Montserrat"/>
          <w:color w:val="000000"/>
          <w:sz w:val="20"/>
          <w:szCs w:val="20"/>
        </w:rPr>
        <w:t>Dezvoltarea de soluții noi și eficiente, cu capacitatea de a controla mana frunzelor și a tuberculilor.</w:t>
      </w:r>
    </w:p>
    <w:p w14:paraId="775C68FC" w14:textId="77777777" w:rsidR="006F0280" w:rsidRPr="00D17A1B" w:rsidRDefault="006F0280" w:rsidP="006F0280">
      <w:pPr>
        <w:numPr>
          <w:ilvl w:val="0"/>
          <w:numId w:val="2"/>
        </w:numPr>
        <w:spacing w:after="120" w:line="240" w:lineRule="auto"/>
        <w:ind w:left="714" w:hanging="357"/>
        <w:contextualSpacing/>
        <w:jc w:val="both"/>
        <w:textAlignment w:val="baseline"/>
        <w:rPr>
          <w:rFonts w:ascii="Montserrat" w:eastAsia="Calibri" w:hAnsi="Montserrat" w:cs="Times New Roman"/>
          <w:kern w:val="0"/>
          <w:sz w:val="20"/>
          <w:szCs w:val="20"/>
          <w14:ligatures w14:val="none"/>
        </w:rPr>
      </w:pPr>
      <w:r>
        <w:rPr>
          <w:rFonts w:ascii="Montserrat" w:hAnsi="Montserrat"/>
          <w:sz w:val="20"/>
          <w:szCs w:val="20"/>
        </w:rPr>
        <w:t>Ameliorare</w:t>
      </w:r>
    </w:p>
    <w:p w14:paraId="2F34775F" w14:textId="522D0AEA" w:rsidR="006F0280" w:rsidRPr="00D17A1B" w:rsidRDefault="006F0280" w:rsidP="006F0280">
      <w:pPr>
        <w:numPr>
          <w:ilvl w:val="0"/>
          <w:numId w:val="3"/>
        </w:numPr>
        <w:spacing w:after="120" w:line="240" w:lineRule="auto"/>
        <w:contextualSpacing/>
        <w:jc w:val="both"/>
        <w:textAlignment w:val="baseline"/>
        <w:rPr>
          <w:rFonts w:ascii="Montserrat" w:eastAsia="Calibri" w:hAnsi="Montserrat" w:cs="Aptos"/>
          <w:kern w:val="0"/>
          <w:sz w:val="20"/>
          <w:szCs w:val="20"/>
          <w14:ligatures w14:val="none"/>
        </w:rPr>
      </w:pPr>
      <w:r>
        <w:rPr>
          <w:rFonts w:ascii="Montserrat" w:hAnsi="Montserrat"/>
          <w:sz w:val="20"/>
          <w:szCs w:val="20"/>
        </w:rPr>
        <w:t xml:space="preserve">Stabilirea unui program de monitorizare sistemică și extinsă, inclusiv a unui sistem de feedback pentru cultivatorii de cartofi în cazul în care varietățile îmbunătățite și rezistente sunt infectate de mana cartofului. O detectare timpurie a noilor tipuri de mană care ocolesc noile rezistențe genetice poate contribui la evitarea răspândirii necontrolate a manei cartofului. </w:t>
      </w:r>
    </w:p>
    <w:p w14:paraId="0AD439AD" w14:textId="77777777" w:rsidR="006F0280" w:rsidRPr="00D17A1B" w:rsidRDefault="006F0280" w:rsidP="006F0280">
      <w:pPr>
        <w:numPr>
          <w:ilvl w:val="0"/>
          <w:numId w:val="3"/>
        </w:numPr>
        <w:spacing w:after="120" w:line="240" w:lineRule="auto"/>
        <w:contextualSpacing/>
        <w:jc w:val="both"/>
        <w:textAlignment w:val="baseline"/>
        <w:rPr>
          <w:rFonts w:ascii="Montserrat" w:eastAsia="Calibri" w:hAnsi="Montserrat" w:cs="Aptos"/>
          <w:color w:val="000000"/>
          <w:kern w:val="0"/>
          <w:sz w:val="20"/>
          <w:szCs w:val="20"/>
          <w14:ligatures w14:val="none"/>
        </w:rPr>
      </w:pPr>
      <w:r>
        <w:rPr>
          <w:rFonts w:ascii="Montserrat" w:hAnsi="Montserrat"/>
          <w:color w:val="000000"/>
          <w:sz w:val="20"/>
          <w:szCs w:val="20"/>
        </w:rPr>
        <w:t xml:space="preserve">Doar câteva soiuri sunt foarte rezistente la mană. O soluție fundamentală pentru agricultori ar fi apariția unor soiuri de cartofi noi și mai rezistente la mană. Atât selecția tradițională asistată de </w:t>
      </w:r>
      <w:proofErr w:type="spellStart"/>
      <w:r>
        <w:rPr>
          <w:rFonts w:ascii="Montserrat" w:hAnsi="Montserrat"/>
          <w:color w:val="000000"/>
          <w:sz w:val="20"/>
          <w:szCs w:val="20"/>
        </w:rPr>
        <w:t>markeri</w:t>
      </w:r>
      <w:proofErr w:type="spellEnd"/>
      <w:r>
        <w:rPr>
          <w:rFonts w:ascii="Montserrat" w:hAnsi="Montserrat"/>
          <w:color w:val="000000"/>
          <w:sz w:val="20"/>
          <w:szCs w:val="20"/>
        </w:rPr>
        <w:t xml:space="preserve">, cât și noile tehnici genomice (NGT) reprezintă instrumente de sprijin pentru dezvoltarea unor alte soiuri rezistente, prin urmare, NGT-urile trebuie aprobate cât mai curând posibil. </w:t>
      </w:r>
    </w:p>
    <w:p w14:paraId="0752B3E3" w14:textId="77777777" w:rsidR="00C11206" w:rsidRPr="00257C97" w:rsidRDefault="00C11206" w:rsidP="006F0280">
      <w:pPr>
        <w:spacing w:after="120" w:line="240" w:lineRule="auto"/>
        <w:ind w:left="360"/>
        <w:jc w:val="both"/>
        <w:textAlignment w:val="baseline"/>
        <w:rPr>
          <w:rFonts w:ascii="Montserrat" w:eastAsia="Times New Roman" w:hAnsi="Montserrat" w:cs="Aptos"/>
          <w:b/>
          <w:bCs/>
          <w:color w:val="000000"/>
          <w:kern w:val="0"/>
          <w:sz w:val="20"/>
          <w:szCs w:val="20"/>
          <w:lang w:eastAsia="en-GB"/>
          <w14:ligatures w14:val="none"/>
        </w:rPr>
      </w:pPr>
    </w:p>
    <w:p w14:paraId="0AB5643D" w14:textId="4DDBE0FA" w:rsidR="006F0280" w:rsidRPr="00D17A1B" w:rsidRDefault="006F0280" w:rsidP="006F0280">
      <w:pPr>
        <w:spacing w:after="120" w:line="240" w:lineRule="auto"/>
        <w:ind w:left="360"/>
        <w:jc w:val="both"/>
        <w:textAlignment w:val="baseline"/>
        <w:rPr>
          <w:rFonts w:ascii="Montserrat" w:eastAsia="Aptos" w:hAnsi="Montserrat" w:cs="Aptos"/>
          <w:color w:val="000000"/>
          <w14:ligatures w14:val="none"/>
        </w:rPr>
      </w:pPr>
      <w:r>
        <w:rPr>
          <w:rFonts w:ascii="Montserrat" w:hAnsi="Montserrat"/>
          <w:b/>
          <w:bCs/>
          <w:color w:val="000000"/>
        </w:rPr>
        <w:t xml:space="preserve">Angajamentele părților interesate </w:t>
      </w:r>
    </w:p>
    <w:p w14:paraId="6BD32916" w14:textId="77777777" w:rsidR="006F0280" w:rsidRPr="00F30E4E" w:rsidRDefault="006F0280" w:rsidP="006F0280">
      <w:pPr>
        <w:numPr>
          <w:ilvl w:val="0"/>
          <w:numId w:val="4"/>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 xml:space="preserve">Parteneriat - Implicarea fermierilor, a oamenilor de știință și a industriei, împreună cu autoritățile competente naționale și europene. </w:t>
      </w:r>
    </w:p>
    <w:p w14:paraId="1EDC2249" w14:textId="77777777" w:rsidR="006F0280" w:rsidRPr="00F30E4E" w:rsidRDefault="006F0280" w:rsidP="006F0280">
      <w:pPr>
        <w:numPr>
          <w:ilvl w:val="0"/>
          <w:numId w:val="4"/>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color w:val="000000"/>
          <w:sz w:val="20"/>
          <w:szCs w:val="20"/>
        </w:rPr>
        <w:t xml:space="preserve">Produsele convenționale eficiente de protecție a culturilor și de </w:t>
      </w:r>
      <w:proofErr w:type="spellStart"/>
      <w:r>
        <w:rPr>
          <w:rFonts w:ascii="Montserrat" w:hAnsi="Montserrat"/>
          <w:color w:val="000000"/>
          <w:sz w:val="20"/>
          <w:szCs w:val="20"/>
        </w:rPr>
        <w:t>biocontrol</w:t>
      </w:r>
      <w:proofErr w:type="spellEnd"/>
      <w:r>
        <w:rPr>
          <w:rFonts w:ascii="Montserrat" w:hAnsi="Montserrat"/>
          <w:color w:val="000000"/>
          <w:sz w:val="20"/>
          <w:szCs w:val="20"/>
        </w:rPr>
        <w:t>, sistemele de sprijinire a deciziilor și noi soiuri îmbunătățite de cartofi trebuie să continue să fie puse la dispoziția agricultorilor din UE.</w:t>
      </w:r>
    </w:p>
    <w:p w14:paraId="7E1C1691" w14:textId="77777777" w:rsidR="006F0280" w:rsidRPr="00F30E4E" w:rsidRDefault="006F0280" w:rsidP="006F0280">
      <w:pPr>
        <w:numPr>
          <w:ilvl w:val="0"/>
          <w:numId w:val="4"/>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 xml:space="preserve">Furnizarea de informații pentru toate părțile interesate cu privire la ciclul </w:t>
      </w:r>
      <w:proofErr w:type="spellStart"/>
      <w:r>
        <w:rPr>
          <w:rFonts w:ascii="Montserrat" w:hAnsi="Montserrat"/>
          <w:i/>
          <w:iCs/>
          <w:sz w:val="20"/>
          <w:szCs w:val="20"/>
        </w:rPr>
        <w:t>Phytophthora</w:t>
      </w:r>
      <w:proofErr w:type="spellEnd"/>
      <w:r>
        <w:rPr>
          <w:rFonts w:ascii="Montserrat" w:hAnsi="Montserrat"/>
          <w:i/>
          <w:iCs/>
          <w:sz w:val="20"/>
          <w:szCs w:val="20"/>
        </w:rPr>
        <w:t xml:space="preserve"> </w:t>
      </w:r>
      <w:proofErr w:type="spellStart"/>
      <w:r>
        <w:rPr>
          <w:rFonts w:ascii="Montserrat" w:hAnsi="Montserrat"/>
          <w:i/>
          <w:iCs/>
          <w:sz w:val="20"/>
          <w:szCs w:val="20"/>
        </w:rPr>
        <w:t>infestans</w:t>
      </w:r>
      <w:proofErr w:type="spellEnd"/>
      <w:r>
        <w:rPr>
          <w:rFonts w:ascii="Montserrat" w:hAnsi="Montserrat"/>
          <w:sz w:val="20"/>
          <w:szCs w:val="20"/>
        </w:rPr>
        <w:t xml:space="preserve"> și la sensibilitatea sa la diferitele moduri de acțiune ale fungicidelor și ale soiurilor rezistente la mană (gene R/rezistență verticală).</w:t>
      </w:r>
    </w:p>
    <w:p w14:paraId="169AC6E4" w14:textId="548F1A6C" w:rsidR="006F0280" w:rsidRDefault="006F0280" w:rsidP="006F0280">
      <w:pPr>
        <w:numPr>
          <w:ilvl w:val="0"/>
          <w:numId w:val="4"/>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 xml:space="preserve">Colaborarea în cadrul lanțului de aprovizionare pentru a transmite cultivatorilor și consilierilor mesaje coerente privind gestionarea integrată a </w:t>
      </w:r>
      <w:proofErr w:type="spellStart"/>
      <w:r>
        <w:rPr>
          <w:rFonts w:ascii="Montserrat" w:hAnsi="Montserrat"/>
          <w:i/>
          <w:iCs/>
          <w:sz w:val="20"/>
          <w:szCs w:val="20"/>
        </w:rPr>
        <w:t>Phytophthora</w:t>
      </w:r>
      <w:proofErr w:type="spellEnd"/>
      <w:r>
        <w:rPr>
          <w:rFonts w:ascii="Montserrat" w:hAnsi="Montserrat"/>
          <w:sz w:val="20"/>
          <w:szCs w:val="20"/>
        </w:rPr>
        <w:t>.</w:t>
      </w:r>
    </w:p>
    <w:p w14:paraId="74C97FD8" w14:textId="77777777" w:rsidR="002430D8" w:rsidRPr="00F30E4E" w:rsidRDefault="002430D8" w:rsidP="002430D8">
      <w:pPr>
        <w:spacing w:after="120" w:line="240" w:lineRule="auto"/>
        <w:ind w:left="360"/>
        <w:jc w:val="both"/>
        <w:textAlignment w:val="baseline"/>
        <w:rPr>
          <w:rFonts w:ascii="Montserrat" w:eastAsia="Times New Roman" w:hAnsi="Montserrat" w:cs="Aptos"/>
          <w:kern w:val="0"/>
          <w:sz w:val="20"/>
          <w:szCs w:val="20"/>
          <w:lang w:val="en-GB" w:eastAsia="en-GB"/>
          <w14:ligatures w14:val="none"/>
        </w:rPr>
      </w:pPr>
    </w:p>
    <w:p w14:paraId="4ACCE960" w14:textId="77777777" w:rsidR="006F0280" w:rsidRPr="00D17A1B" w:rsidRDefault="006F0280" w:rsidP="006F0280">
      <w:pPr>
        <w:spacing w:after="120" w:line="240" w:lineRule="auto"/>
        <w:ind w:left="360"/>
        <w:jc w:val="both"/>
        <w:textAlignment w:val="baseline"/>
        <w:rPr>
          <w:rFonts w:ascii="Montserrat" w:eastAsia="Times New Roman" w:hAnsi="Montserrat" w:cs="Aptos"/>
          <w:color w:val="000000"/>
          <w:kern w:val="0"/>
          <w14:ligatures w14:val="none"/>
        </w:rPr>
      </w:pPr>
      <w:r>
        <w:rPr>
          <w:rFonts w:ascii="Montserrat" w:hAnsi="Montserrat"/>
          <w:b/>
          <w:bCs/>
          <w:color w:val="000000"/>
        </w:rPr>
        <w:t>Solicităm Comisiei Europene și statelor membre să elaboreze politici</w:t>
      </w:r>
      <w:r>
        <w:rPr>
          <w:rFonts w:ascii="Montserrat" w:hAnsi="Montserrat"/>
          <w:color w:val="000000"/>
        </w:rPr>
        <w:t>:</w:t>
      </w:r>
    </w:p>
    <w:p w14:paraId="3221EBD5"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color w:val="000000"/>
          <w:sz w:val="20"/>
          <w:szCs w:val="20"/>
        </w:rPr>
        <w:t xml:space="preserve">Comunicarea despre importanța și beneficiile cartofilor într-o dietă echilibrată, asigurând </w:t>
      </w:r>
      <w:r>
        <w:rPr>
          <w:rFonts w:ascii="Montserrat" w:hAnsi="Montserrat"/>
          <w:sz w:val="20"/>
          <w:szCs w:val="20"/>
        </w:rPr>
        <w:t>astfel producția de cartofi din UE prin combaterea manei cartofilor, inclusiv prin instituirea unui sistem de avertizare timpurie pentru răspândirea manei și pentru rezistența la fungicide.</w:t>
      </w:r>
    </w:p>
    <w:p w14:paraId="5A6109B1"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Sprijin pentru continuarea disponibilității fungicidelor existente pentru combaterea manei cartofilor și luând în considerare beneficiile acestora atunci când li se revizuiește aprobarea.</w:t>
      </w:r>
    </w:p>
    <w:p w14:paraId="57BDB7CC"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Menținerea soluțiilor convenționale în contextul căutării globale de soluții alternative.</w:t>
      </w:r>
    </w:p>
    <w:p w14:paraId="2440E78D"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Sprijinirea dezvoltării tehnicilor de ameliorare pentru rezistența la boli, atât pentru produsele convenționale, cât și pentru cele NGT.</w:t>
      </w:r>
    </w:p>
    <w:p w14:paraId="68FFC8EA"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Sprijin din partea autorităților pentru reducerea decalajelor dintre cercetători și fermieri și pentru a găsi soluții comune la scară largă care, în cele din urmă, ar fi văzute drept noi oportunități pentru fermieri de îmbunătățire a productivității. Conducerea discuției politice privind NGT-urile și încheierea rapidă și orientată spre viitor a dosarului.</w:t>
      </w:r>
    </w:p>
    <w:p w14:paraId="37CB97CB"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 xml:space="preserve">Stabilirea unei proceduri de aprobare mai rapide și mai puțin împovărătoare pentru soluții fitosanitare eficiente. </w:t>
      </w:r>
    </w:p>
    <w:p w14:paraId="188B17F9"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 xml:space="preserve">Fonduri pentru proiecte de cercetare fundamentală și agronomică și pentru transferuri de cunoștințe în vederea combaterii manei cartofilor. Stabilirea unui </w:t>
      </w:r>
      <w:r>
        <w:rPr>
          <w:rFonts w:ascii="Montserrat" w:hAnsi="Montserrat"/>
          <w:sz w:val="20"/>
          <w:szCs w:val="20"/>
          <w:shd w:val="clear" w:color="auto" w:fill="FFFFFF"/>
        </w:rPr>
        <w:t>proiect al unui grup operațional PEI-AGRI despre mana cartofului cu acțiuni concrete de împărtășire a cunoștințelor și rezultate de cercetare din fiecare stat membru relevant.</w:t>
      </w:r>
    </w:p>
    <w:p w14:paraId="2B235B0A" w14:textId="77777777" w:rsidR="006F0280" w:rsidRPr="00F30E4E" w:rsidRDefault="006F0280" w:rsidP="006F0280">
      <w:pPr>
        <w:numPr>
          <w:ilvl w:val="0"/>
          <w:numId w:val="5"/>
        </w:numPr>
        <w:spacing w:after="120" w:line="240" w:lineRule="auto"/>
        <w:jc w:val="both"/>
        <w:textAlignment w:val="baseline"/>
        <w:rPr>
          <w:rFonts w:ascii="Montserrat" w:eastAsia="Times New Roman" w:hAnsi="Montserrat" w:cs="Times New Roman"/>
          <w:kern w:val="0"/>
          <w:sz w:val="20"/>
          <w:szCs w:val="20"/>
          <w14:ligatures w14:val="none"/>
        </w:rPr>
      </w:pPr>
      <w:r>
        <w:rPr>
          <w:rFonts w:ascii="Montserrat" w:hAnsi="Montserrat"/>
          <w:sz w:val="20"/>
          <w:szCs w:val="20"/>
          <w:shd w:val="clear" w:color="auto" w:fill="FFFFFF"/>
        </w:rPr>
        <w:t>Elaborarea de strategii eficiente, adaptate de gestionare integrată a dăunătorilor.</w:t>
      </w:r>
    </w:p>
    <w:p w14:paraId="06684F3A" w14:textId="77777777" w:rsidR="006F0280" w:rsidRDefault="006F0280" w:rsidP="006F0280">
      <w:pPr>
        <w:numPr>
          <w:ilvl w:val="0"/>
          <w:numId w:val="5"/>
        </w:numPr>
        <w:spacing w:after="120" w:line="240" w:lineRule="auto"/>
        <w:jc w:val="both"/>
        <w:textAlignment w:val="baseline"/>
        <w:rPr>
          <w:rFonts w:ascii="Montserrat" w:eastAsia="Times New Roman" w:hAnsi="Montserrat" w:cs="Aptos"/>
          <w:kern w:val="0"/>
          <w:sz w:val="20"/>
          <w:szCs w:val="20"/>
          <w14:ligatures w14:val="none"/>
        </w:rPr>
      </w:pPr>
      <w:r>
        <w:rPr>
          <w:rFonts w:ascii="Montserrat" w:hAnsi="Montserrat"/>
          <w:sz w:val="20"/>
          <w:szCs w:val="20"/>
        </w:rPr>
        <w:t>Promovarea de soluții chimice cu impact de mediu mai mic ca parte din căutarea unor soluții alternative.</w:t>
      </w:r>
    </w:p>
    <w:p w14:paraId="6B850120" w14:textId="77777777" w:rsidR="002430D8" w:rsidRPr="00257C97" w:rsidRDefault="002430D8" w:rsidP="002430D8">
      <w:pPr>
        <w:spacing w:after="120" w:line="240" w:lineRule="auto"/>
        <w:jc w:val="both"/>
        <w:textAlignment w:val="baseline"/>
        <w:rPr>
          <w:rFonts w:ascii="Montserrat" w:eastAsia="Times New Roman" w:hAnsi="Montserrat" w:cs="Aptos"/>
          <w:kern w:val="0"/>
          <w:sz w:val="20"/>
          <w:szCs w:val="20"/>
          <w:lang w:val="fr-FR" w:eastAsia="en-GB"/>
          <w14:ligatures w14:val="none"/>
        </w:rPr>
      </w:pPr>
    </w:p>
    <w:p w14:paraId="6AB40736" w14:textId="77777777" w:rsidR="006F0280" w:rsidRPr="00F35249" w:rsidRDefault="006F0280" w:rsidP="006F0280">
      <w:pPr>
        <w:spacing w:after="120" w:line="240" w:lineRule="auto"/>
        <w:textAlignment w:val="baseline"/>
        <w:rPr>
          <w:rFonts w:ascii="Montserrat" w:eastAsia="Times New Roman" w:hAnsi="Montserrat" w:cs="Aptos"/>
          <w:b/>
          <w:bCs/>
          <w:kern w:val="0"/>
          <w14:ligatures w14:val="none"/>
        </w:rPr>
      </w:pPr>
      <w:r>
        <w:rPr>
          <w:rFonts w:ascii="Montserrat" w:hAnsi="Montserrat"/>
          <w:b/>
          <w:bCs/>
        </w:rPr>
        <w:t>Context</w:t>
      </w:r>
    </w:p>
    <w:p w14:paraId="178583BA" w14:textId="576CE3C4" w:rsidR="006F0280" w:rsidRPr="00F35249" w:rsidRDefault="006F0280" w:rsidP="006F0280">
      <w:pPr>
        <w:spacing w:after="120" w:line="240" w:lineRule="auto"/>
        <w:ind w:left="360"/>
        <w:jc w:val="both"/>
        <w:textAlignment w:val="baseline"/>
        <w:rPr>
          <w:rFonts w:ascii="Montserrat" w:eastAsia="Times New Roman" w:hAnsi="Montserrat" w:cs="Aptos"/>
          <w:color w:val="000000"/>
          <w:kern w:val="0"/>
          <w:sz w:val="20"/>
          <w:szCs w:val="20"/>
          <w14:ligatures w14:val="none"/>
        </w:rPr>
      </w:pPr>
      <w:r>
        <w:rPr>
          <w:rFonts w:ascii="Montserrat" w:hAnsi="Montserrat"/>
          <w:color w:val="333333"/>
          <w:sz w:val="20"/>
          <w:szCs w:val="20"/>
          <w:shd w:val="clear" w:color="auto" w:fill="FFFFFF"/>
        </w:rPr>
        <w:t xml:space="preserve">Cartofii sunt cultivați pe 1,7 % din terenul arabil al UE, însumând aproximativ 1,7 milioane de hectare în UE. UE este un exportator net de cartofi, în principal cartofi de sămânță, în valoare de 509 milioane EUR (2020). </w:t>
      </w:r>
      <w:r>
        <w:rPr>
          <w:rFonts w:ascii="Montserrat" w:hAnsi="Montserrat"/>
          <w:color w:val="333333"/>
          <w:sz w:val="20"/>
          <w:szCs w:val="20"/>
        </w:rPr>
        <w:t xml:space="preserve">Pe lângă consumul </w:t>
      </w:r>
      <w:r>
        <w:rPr>
          <w:rFonts w:ascii="Montserrat" w:hAnsi="Montserrat"/>
          <w:color w:val="333333"/>
          <w:sz w:val="20"/>
          <w:szCs w:val="20"/>
          <w:shd w:val="clear" w:color="auto" w:fill="FFFFFF"/>
        </w:rPr>
        <w:t>cartofilor proaspeți, aceștia pot fi prelucrați pentru a deveni patru tipuri principale de produse: cartofi congelați, cartofi deshidratați, cartofi preparați sau în conservă și amidon de cartofi. Valoarea generală a producției europene de cartofi procesați a ajuns la 9,1 miliarde EUR în 2019, fiind vorba despre 1,6 % din valoarea producției industriei alimentare europene ca ansamblu. Cel mai important produs procesat în termeni de valoare de producție au fost cartofii pai și chipsurile congelate. UE este, de asemenea, un exportator net de cartofi prelucrați, valoarea fiind de 3 miliarde EUR în 2022.</w:t>
      </w:r>
    </w:p>
    <w:p w14:paraId="781B39A1" w14:textId="33C5D3F1" w:rsidR="006F0280" w:rsidRPr="00F35249" w:rsidRDefault="006F0280" w:rsidP="006F0280">
      <w:pPr>
        <w:spacing w:after="120" w:line="240" w:lineRule="auto"/>
        <w:ind w:left="360"/>
        <w:jc w:val="both"/>
        <w:textAlignment w:val="baseline"/>
        <w:rPr>
          <w:rFonts w:ascii="Montserrat" w:eastAsia="Times New Roman" w:hAnsi="Montserrat" w:cs="Arial"/>
          <w:color w:val="333333"/>
          <w:kern w:val="0"/>
          <w:sz w:val="20"/>
          <w:szCs w:val="20"/>
          <w:shd w:val="clear" w:color="auto" w:fill="FFFFFF"/>
          <w14:ligatures w14:val="none"/>
        </w:rPr>
      </w:pPr>
      <w:r>
        <w:rPr>
          <w:rFonts w:ascii="Montserrat" w:hAnsi="Montserrat"/>
          <w:color w:val="333333"/>
          <w:sz w:val="20"/>
          <w:szCs w:val="20"/>
          <w:shd w:val="clear" w:color="auto" w:fill="FFFFFF"/>
        </w:rPr>
        <w:t xml:space="preserve">Aproximativ 1,5 milioane de exploatații agricole din UE cultivă cartofi. Valoarea cartofilor neprelucrați (inclusiv a cartofilor de sămânță) reprezintă aproximativ 3 % din producția agricolă totală a UE. Pentru multe exploatații agricole, cartofii reprezintă o cultură de rotație pentru cereale. (sursa: </w:t>
      </w:r>
      <w:proofErr w:type="spellStart"/>
      <w:r>
        <w:rPr>
          <w:rFonts w:ascii="Montserrat" w:hAnsi="Montserrat"/>
          <w:color w:val="333333"/>
          <w:sz w:val="20"/>
          <w:szCs w:val="20"/>
          <w:shd w:val="clear" w:color="auto" w:fill="FFFFFF"/>
        </w:rPr>
        <w:t>Eurostat</w:t>
      </w:r>
      <w:proofErr w:type="spellEnd"/>
      <w:r w:rsidR="005E5394">
        <w:rPr>
          <w:rStyle w:val="FootnoteReference"/>
          <w:rFonts w:ascii="Montserrat" w:eastAsia="Times New Roman" w:hAnsi="Montserrat" w:cs="Arial"/>
          <w:color w:val="333333"/>
          <w:kern w:val="0"/>
          <w:sz w:val="20"/>
          <w:szCs w:val="20"/>
          <w:shd w:val="clear" w:color="auto" w:fill="FFFFFF"/>
          <w:lang w:val="en-GB" w:eastAsia="en-GB"/>
        </w:rPr>
        <w:footnoteReference w:id="6"/>
      </w:r>
      <w:r>
        <w:rPr>
          <w:rFonts w:ascii="Montserrat" w:hAnsi="Montserrat"/>
          <w:color w:val="333333"/>
          <w:sz w:val="20"/>
          <w:szCs w:val="20"/>
          <w:shd w:val="clear" w:color="auto" w:fill="FFFFFF"/>
        </w:rPr>
        <w:t>).</w:t>
      </w:r>
    </w:p>
    <w:p w14:paraId="477EC522" w14:textId="77777777" w:rsidR="006F0280" w:rsidRPr="006F0280" w:rsidRDefault="006F0280" w:rsidP="006F0280">
      <w:pPr>
        <w:spacing w:after="120" w:line="240" w:lineRule="auto"/>
        <w:jc w:val="center"/>
        <w:rPr>
          <w:rFonts w:ascii="Montserrat" w:eastAsia="Calibri" w:hAnsi="Montserrat" w:cs="Calibri"/>
          <w:sz w:val="22"/>
          <w:szCs w:val="22"/>
          <w14:ligatures w14:val="none"/>
        </w:rPr>
      </w:pPr>
      <w:r>
        <w:rPr>
          <w:rFonts w:ascii="Montserrat" w:hAnsi="Montserrat"/>
          <w:sz w:val="22"/>
          <w:szCs w:val="22"/>
        </w:rPr>
        <w:t>------------------</w:t>
      </w:r>
    </w:p>
    <w:sectPr w:rsidR="006F0280" w:rsidRPr="006F0280" w:rsidSect="00726C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A94BE" w14:textId="77777777" w:rsidR="006F0280" w:rsidRDefault="006F0280" w:rsidP="006F0280">
      <w:pPr>
        <w:spacing w:after="0" w:line="240" w:lineRule="auto"/>
      </w:pPr>
      <w:r>
        <w:separator/>
      </w:r>
    </w:p>
  </w:endnote>
  <w:endnote w:type="continuationSeparator" w:id="0">
    <w:p w14:paraId="0DA79E0D" w14:textId="77777777" w:rsidR="006F0280" w:rsidRDefault="006F0280" w:rsidP="006F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773C7" w14:textId="77777777" w:rsidR="006F0280" w:rsidRDefault="006F0280" w:rsidP="006F0280">
      <w:pPr>
        <w:spacing w:after="0" w:line="240" w:lineRule="auto"/>
      </w:pPr>
      <w:r>
        <w:separator/>
      </w:r>
    </w:p>
  </w:footnote>
  <w:footnote w:type="continuationSeparator" w:id="0">
    <w:p w14:paraId="0BE7DB51" w14:textId="77777777" w:rsidR="006F0280" w:rsidRDefault="006F0280" w:rsidP="006F0280">
      <w:pPr>
        <w:spacing w:after="0" w:line="240" w:lineRule="auto"/>
      </w:pPr>
      <w:r>
        <w:continuationSeparator/>
      </w:r>
    </w:p>
  </w:footnote>
  <w:footnote w:id="1">
    <w:p w14:paraId="655D75B4" w14:textId="77777777" w:rsidR="006F0280" w:rsidRPr="00517307" w:rsidRDefault="006F0280" w:rsidP="006F0280">
      <w:pPr>
        <w:pStyle w:val="FootnoteText"/>
        <w:rPr>
          <w:rFonts w:ascii="Montserrat" w:hAnsi="Montserrat"/>
          <w:sz w:val="18"/>
          <w:szCs w:val="18"/>
        </w:rPr>
      </w:pPr>
      <w:r>
        <w:rPr>
          <w:rStyle w:val="FootnoteReference"/>
          <w:rFonts w:ascii="Montserrat" w:hAnsi="Montserrat"/>
          <w:sz w:val="18"/>
          <w:szCs w:val="18"/>
        </w:rPr>
        <w:footnoteRef/>
      </w:r>
      <w:r>
        <w:rPr>
          <w:rFonts w:ascii="Montserrat" w:hAnsi="Montserrat"/>
          <w:sz w:val="18"/>
          <w:szCs w:val="18"/>
        </w:rPr>
        <w:t xml:space="preserve"> </w:t>
      </w:r>
      <w:r>
        <w:rPr>
          <w:rFonts w:ascii="Montserrat" w:hAnsi="Montserrat"/>
          <w:b/>
          <w:bCs/>
          <w:sz w:val="18"/>
          <w:szCs w:val="18"/>
        </w:rPr>
        <w:t xml:space="preserve">Societal </w:t>
      </w:r>
      <w:proofErr w:type="spellStart"/>
      <w:r>
        <w:rPr>
          <w:rFonts w:ascii="Montserrat" w:hAnsi="Montserrat"/>
          <w:b/>
          <w:bCs/>
          <w:sz w:val="18"/>
          <w:szCs w:val="18"/>
        </w:rPr>
        <w:t>Costs</w:t>
      </w:r>
      <w:proofErr w:type="spellEnd"/>
      <w:r>
        <w:rPr>
          <w:rFonts w:ascii="Montserrat" w:hAnsi="Montserrat"/>
          <w:b/>
          <w:bCs/>
          <w:sz w:val="18"/>
          <w:szCs w:val="18"/>
        </w:rPr>
        <w:t xml:space="preserve"> of Late </w:t>
      </w:r>
      <w:proofErr w:type="spellStart"/>
      <w:r>
        <w:rPr>
          <w:rFonts w:ascii="Montserrat" w:hAnsi="Montserrat"/>
          <w:b/>
          <w:bCs/>
          <w:sz w:val="18"/>
          <w:szCs w:val="18"/>
        </w:rPr>
        <w:t>Blight</w:t>
      </w:r>
      <w:proofErr w:type="spellEnd"/>
      <w:r>
        <w:rPr>
          <w:rFonts w:ascii="Montserrat" w:hAnsi="Montserrat"/>
          <w:b/>
          <w:bCs/>
          <w:sz w:val="18"/>
          <w:szCs w:val="18"/>
        </w:rPr>
        <w:t xml:space="preserve"> in </w:t>
      </w:r>
      <w:proofErr w:type="spellStart"/>
      <w:r>
        <w:rPr>
          <w:rFonts w:ascii="Montserrat" w:hAnsi="Montserrat"/>
          <w:b/>
          <w:bCs/>
          <w:sz w:val="18"/>
          <w:szCs w:val="18"/>
        </w:rPr>
        <w:t>Potato</w:t>
      </w:r>
      <w:proofErr w:type="spellEnd"/>
      <w:r>
        <w:rPr>
          <w:rFonts w:ascii="Montserrat" w:hAnsi="Montserrat"/>
          <w:b/>
          <w:bCs/>
          <w:sz w:val="18"/>
          <w:szCs w:val="18"/>
        </w:rPr>
        <w:t xml:space="preserve"> </w:t>
      </w:r>
      <w:proofErr w:type="spellStart"/>
      <w:r>
        <w:rPr>
          <w:rFonts w:ascii="Montserrat" w:hAnsi="Montserrat"/>
          <w:b/>
          <w:bCs/>
          <w:sz w:val="18"/>
          <w:szCs w:val="18"/>
        </w:rPr>
        <w:t>and</w:t>
      </w:r>
      <w:proofErr w:type="spellEnd"/>
      <w:r>
        <w:rPr>
          <w:rFonts w:ascii="Montserrat" w:hAnsi="Montserrat"/>
          <w:b/>
          <w:bCs/>
          <w:sz w:val="18"/>
          <w:szCs w:val="18"/>
        </w:rPr>
        <w:t xml:space="preserve"> </w:t>
      </w:r>
      <w:proofErr w:type="spellStart"/>
      <w:r>
        <w:rPr>
          <w:rFonts w:ascii="Montserrat" w:hAnsi="Montserrat"/>
          <w:b/>
          <w:bCs/>
          <w:sz w:val="18"/>
          <w:szCs w:val="18"/>
        </w:rPr>
        <w:t>Prospects</w:t>
      </w:r>
      <w:proofErr w:type="spellEnd"/>
      <w:r>
        <w:rPr>
          <w:rFonts w:ascii="Montserrat" w:hAnsi="Montserrat"/>
          <w:b/>
          <w:bCs/>
          <w:sz w:val="18"/>
          <w:szCs w:val="18"/>
        </w:rPr>
        <w:t xml:space="preserve"> of </w:t>
      </w:r>
      <w:proofErr w:type="spellStart"/>
      <w:r>
        <w:rPr>
          <w:rFonts w:ascii="Montserrat" w:hAnsi="Montserrat"/>
          <w:b/>
          <w:bCs/>
          <w:sz w:val="18"/>
          <w:szCs w:val="18"/>
        </w:rPr>
        <w:t>Durable</w:t>
      </w:r>
      <w:proofErr w:type="spellEnd"/>
      <w:r>
        <w:rPr>
          <w:rFonts w:ascii="Montserrat" w:hAnsi="Montserrat"/>
          <w:b/>
          <w:bCs/>
          <w:sz w:val="18"/>
          <w:szCs w:val="18"/>
        </w:rPr>
        <w:t xml:space="preserve"> </w:t>
      </w:r>
      <w:proofErr w:type="spellStart"/>
      <w:r>
        <w:rPr>
          <w:rFonts w:ascii="Montserrat" w:hAnsi="Montserrat"/>
          <w:b/>
          <w:bCs/>
          <w:sz w:val="18"/>
          <w:szCs w:val="18"/>
        </w:rPr>
        <w:t>Resistance</w:t>
      </w:r>
      <w:proofErr w:type="spellEnd"/>
      <w:r>
        <w:rPr>
          <w:rFonts w:ascii="Montserrat" w:hAnsi="Montserrat"/>
          <w:b/>
          <w:bCs/>
          <w:sz w:val="18"/>
          <w:szCs w:val="18"/>
        </w:rPr>
        <w:t xml:space="preserve"> </w:t>
      </w:r>
      <w:proofErr w:type="spellStart"/>
      <w:r>
        <w:rPr>
          <w:rFonts w:ascii="Montserrat" w:hAnsi="Montserrat"/>
          <w:b/>
          <w:bCs/>
          <w:sz w:val="18"/>
          <w:szCs w:val="18"/>
        </w:rPr>
        <w:t>Through</w:t>
      </w:r>
      <w:proofErr w:type="spellEnd"/>
      <w:r>
        <w:rPr>
          <w:rFonts w:ascii="Montserrat" w:hAnsi="Montserrat"/>
          <w:b/>
          <w:bCs/>
          <w:sz w:val="18"/>
          <w:szCs w:val="18"/>
        </w:rPr>
        <w:t xml:space="preserve"> </w:t>
      </w:r>
      <w:proofErr w:type="spellStart"/>
      <w:r>
        <w:rPr>
          <w:rFonts w:ascii="Montserrat" w:hAnsi="Montserrat"/>
          <w:b/>
          <w:bCs/>
          <w:sz w:val="18"/>
          <w:szCs w:val="18"/>
        </w:rPr>
        <w:t>Cisgenic</w:t>
      </w:r>
      <w:proofErr w:type="spellEnd"/>
      <w:r>
        <w:rPr>
          <w:rFonts w:ascii="Montserrat" w:hAnsi="Montserrat"/>
          <w:b/>
          <w:bCs/>
          <w:sz w:val="18"/>
          <w:szCs w:val="18"/>
        </w:rPr>
        <w:t xml:space="preserve"> </w:t>
      </w:r>
      <w:proofErr w:type="spellStart"/>
      <w:r>
        <w:rPr>
          <w:rFonts w:ascii="Montserrat" w:hAnsi="Montserrat"/>
          <w:b/>
          <w:bCs/>
          <w:sz w:val="18"/>
          <w:szCs w:val="18"/>
        </w:rPr>
        <w:t>Modification</w:t>
      </w:r>
      <w:proofErr w:type="spellEnd"/>
      <w:r>
        <w:rPr>
          <w:rFonts w:ascii="Montserrat" w:hAnsi="Montserrat"/>
          <w:sz w:val="18"/>
          <w:szCs w:val="18"/>
        </w:rPr>
        <w:t xml:space="preserve">, A. J. </w:t>
      </w:r>
      <w:proofErr w:type="spellStart"/>
      <w:r>
        <w:rPr>
          <w:rFonts w:ascii="Montserrat" w:hAnsi="Montserrat"/>
          <w:sz w:val="18"/>
          <w:szCs w:val="18"/>
        </w:rPr>
        <w:t>Haverkort</w:t>
      </w:r>
      <w:proofErr w:type="spellEnd"/>
      <w:r>
        <w:rPr>
          <w:rFonts w:ascii="Montserrat" w:hAnsi="Montserrat"/>
          <w:sz w:val="18"/>
          <w:szCs w:val="18"/>
        </w:rPr>
        <w:t xml:space="preserve"> &amp; Co, </w:t>
      </w:r>
      <w:proofErr w:type="spellStart"/>
      <w:r>
        <w:rPr>
          <w:rFonts w:ascii="Montserrat" w:hAnsi="Montserrat"/>
          <w:sz w:val="18"/>
          <w:szCs w:val="18"/>
        </w:rPr>
        <w:t>Potato</w:t>
      </w:r>
      <w:proofErr w:type="spellEnd"/>
      <w:r>
        <w:rPr>
          <w:rFonts w:ascii="Montserrat" w:hAnsi="Montserrat"/>
          <w:sz w:val="18"/>
          <w:szCs w:val="18"/>
        </w:rPr>
        <w:t xml:space="preserve"> </w:t>
      </w:r>
      <w:proofErr w:type="spellStart"/>
      <w:r>
        <w:rPr>
          <w:rFonts w:ascii="Montserrat" w:hAnsi="Montserrat"/>
          <w:sz w:val="18"/>
          <w:szCs w:val="18"/>
        </w:rPr>
        <w:t>Research</w:t>
      </w:r>
      <w:proofErr w:type="spellEnd"/>
      <w:r>
        <w:rPr>
          <w:rFonts w:ascii="Montserrat" w:hAnsi="Montserrat"/>
          <w:sz w:val="18"/>
          <w:szCs w:val="18"/>
        </w:rPr>
        <w:t xml:space="preserve"> (2008), publicat online: 28 iunie 2008</w:t>
      </w:r>
    </w:p>
  </w:footnote>
  <w:footnote w:id="2">
    <w:p w14:paraId="4D7957C0" w14:textId="77777777" w:rsidR="006F0280" w:rsidRPr="00517307" w:rsidRDefault="006F0280" w:rsidP="006F0280">
      <w:pPr>
        <w:pStyle w:val="FootnoteText"/>
        <w:rPr>
          <w:rFonts w:ascii="Montserrat" w:hAnsi="Montserrat"/>
        </w:rPr>
      </w:pPr>
      <w:r>
        <w:rPr>
          <w:rStyle w:val="FootnoteReference"/>
          <w:rFonts w:ascii="Montserrat" w:hAnsi="Montserrat"/>
          <w:sz w:val="18"/>
          <w:szCs w:val="18"/>
        </w:rPr>
        <w:footnoteRef/>
      </w:r>
      <w:r>
        <w:rPr>
          <w:rFonts w:ascii="Montserrat" w:hAnsi="Montserrat"/>
          <w:sz w:val="18"/>
          <w:szCs w:val="18"/>
        </w:rPr>
        <w:t xml:space="preserve"> </w:t>
      </w:r>
      <w:proofErr w:type="spellStart"/>
      <w:r>
        <w:rPr>
          <w:rFonts w:ascii="Montserrat" w:hAnsi="Montserrat"/>
          <w:b/>
          <w:bCs/>
          <w:sz w:val="18"/>
          <w:szCs w:val="18"/>
        </w:rPr>
        <w:t>Development</w:t>
      </w:r>
      <w:proofErr w:type="spellEnd"/>
      <w:r>
        <w:rPr>
          <w:rFonts w:ascii="Montserrat" w:hAnsi="Montserrat"/>
          <w:b/>
          <w:bCs/>
          <w:sz w:val="18"/>
          <w:szCs w:val="18"/>
        </w:rPr>
        <w:t xml:space="preserve"> </w:t>
      </w:r>
      <w:proofErr w:type="spellStart"/>
      <w:r>
        <w:rPr>
          <w:rFonts w:ascii="Montserrat" w:hAnsi="Montserrat"/>
          <w:b/>
          <w:bCs/>
          <w:sz w:val="18"/>
          <w:szCs w:val="18"/>
        </w:rPr>
        <w:t>and</w:t>
      </w:r>
      <w:proofErr w:type="spellEnd"/>
      <w:r>
        <w:rPr>
          <w:rFonts w:ascii="Montserrat" w:hAnsi="Montserrat"/>
          <w:b/>
          <w:bCs/>
          <w:sz w:val="18"/>
          <w:szCs w:val="18"/>
        </w:rPr>
        <w:t xml:space="preserve"> </w:t>
      </w:r>
      <w:proofErr w:type="spellStart"/>
      <w:r>
        <w:rPr>
          <w:rFonts w:ascii="Montserrat" w:hAnsi="Montserrat"/>
          <w:b/>
          <w:bCs/>
          <w:sz w:val="18"/>
          <w:szCs w:val="18"/>
        </w:rPr>
        <w:t>validation</w:t>
      </w:r>
      <w:proofErr w:type="spellEnd"/>
      <w:r>
        <w:rPr>
          <w:rFonts w:ascii="Montserrat" w:hAnsi="Montserrat"/>
          <w:b/>
          <w:bCs/>
          <w:sz w:val="18"/>
          <w:szCs w:val="18"/>
        </w:rPr>
        <w:t xml:space="preserve"> of IPM </w:t>
      </w:r>
      <w:proofErr w:type="spellStart"/>
      <w:r>
        <w:rPr>
          <w:rFonts w:ascii="Montserrat" w:hAnsi="Montserrat"/>
          <w:b/>
          <w:bCs/>
          <w:sz w:val="18"/>
          <w:szCs w:val="18"/>
        </w:rPr>
        <w:t>strategies</w:t>
      </w:r>
      <w:proofErr w:type="spellEnd"/>
      <w:r>
        <w:rPr>
          <w:rFonts w:ascii="Montserrat" w:hAnsi="Montserrat"/>
          <w:b/>
          <w:bCs/>
          <w:sz w:val="18"/>
          <w:szCs w:val="18"/>
        </w:rPr>
        <w:t xml:space="preserve"> for </w:t>
      </w:r>
      <w:proofErr w:type="spellStart"/>
      <w:r>
        <w:rPr>
          <w:rFonts w:ascii="Montserrat" w:hAnsi="Montserrat"/>
          <w:b/>
          <w:bCs/>
          <w:sz w:val="18"/>
          <w:szCs w:val="18"/>
        </w:rPr>
        <w:t>the</w:t>
      </w:r>
      <w:proofErr w:type="spellEnd"/>
      <w:r>
        <w:rPr>
          <w:rFonts w:ascii="Montserrat" w:hAnsi="Montserrat"/>
          <w:b/>
          <w:bCs/>
          <w:sz w:val="18"/>
          <w:szCs w:val="18"/>
        </w:rPr>
        <w:t xml:space="preserve"> </w:t>
      </w:r>
      <w:proofErr w:type="spellStart"/>
      <w:r>
        <w:rPr>
          <w:rFonts w:ascii="Montserrat" w:hAnsi="Montserrat"/>
          <w:b/>
          <w:bCs/>
          <w:sz w:val="18"/>
          <w:szCs w:val="18"/>
        </w:rPr>
        <w:t>cultivation</w:t>
      </w:r>
      <w:proofErr w:type="spellEnd"/>
      <w:r>
        <w:rPr>
          <w:rFonts w:ascii="Montserrat" w:hAnsi="Montserrat"/>
          <w:b/>
          <w:bCs/>
          <w:sz w:val="18"/>
          <w:szCs w:val="18"/>
        </w:rPr>
        <w:t xml:space="preserve"> of </w:t>
      </w:r>
      <w:proofErr w:type="spellStart"/>
      <w:r>
        <w:rPr>
          <w:rFonts w:ascii="Montserrat" w:hAnsi="Montserrat"/>
          <w:b/>
          <w:bCs/>
          <w:sz w:val="18"/>
          <w:szCs w:val="18"/>
        </w:rPr>
        <w:t>cisgenically</w:t>
      </w:r>
      <w:proofErr w:type="spellEnd"/>
      <w:r>
        <w:rPr>
          <w:rFonts w:ascii="Montserrat" w:hAnsi="Montserrat"/>
          <w:b/>
          <w:bCs/>
          <w:sz w:val="18"/>
          <w:szCs w:val="18"/>
        </w:rPr>
        <w:t xml:space="preserve"> </w:t>
      </w:r>
      <w:proofErr w:type="spellStart"/>
      <w:r>
        <w:rPr>
          <w:rFonts w:ascii="Montserrat" w:hAnsi="Montserrat"/>
          <w:b/>
          <w:bCs/>
          <w:sz w:val="18"/>
          <w:szCs w:val="18"/>
        </w:rPr>
        <w:t>modified</w:t>
      </w:r>
      <w:proofErr w:type="spellEnd"/>
      <w:r>
        <w:rPr>
          <w:rFonts w:ascii="Montserrat" w:hAnsi="Montserrat"/>
          <w:b/>
          <w:bCs/>
          <w:sz w:val="18"/>
          <w:szCs w:val="18"/>
        </w:rPr>
        <w:t xml:space="preserve"> late </w:t>
      </w:r>
      <w:proofErr w:type="spellStart"/>
      <w:r>
        <w:rPr>
          <w:rFonts w:ascii="Montserrat" w:hAnsi="Montserrat"/>
          <w:b/>
          <w:bCs/>
          <w:sz w:val="18"/>
          <w:szCs w:val="18"/>
        </w:rPr>
        <w:t>blight</w:t>
      </w:r>
      <w:proofErr w:type="spellEnd"/>
      <w:r>
        <w:rPr>
          <w:rFonts w:ascii="Montserrat" w:hAnsi="Montserrat"/>
          <w:b/>
          <w:bCs/>
          <w:sz w:val="18"/>
          <w:szCs w:val="18"/>
        </w:rPr>
        <w:t xml:space="preserve"> </w:t>
      </w:r>
      <w:proofErr w:type="spellStart"/>
      <w:r>
        <w:rPr>
          <w:rFonts w:ascii="Montserrat" w:hAnsi="Montserrat"/>
          <w:b/>
          <w:bCs/>
          <w:sz w:val="18"/>
          <w:szCs w:val="18"/>
        </w:rPr>
        <w:t>resistant</w:t>
      </w:r>
      <w:proofErr w:type="spellEnd"/>
      <w:r>
        <w:rPr>
          <w:rFonts w:ascii="Montserrat" w:hAnsi="Montserrat"/>
          <w:b/>
          <w:bCs/>
          <w:sz w:val="18"/>
          <w:szCs w:val="18"/>
        </w:rPr>
        <w:t xml:space="preserve"> </w:t>
      </w:r>
      <w:proofErr w:type="spellStart"/>
      <w:r>
        <w:rPr>
          <w:rFonts w:ascii="Montserrat" w:hAnsi="Montserrat"/>
          <w:b/>
          <w:bCs/>
          <w:sz w:val="18"/>
          <w:szCs w:val="18"/>
        </w:rPr>
        <w:t>potato</w:t>
      </w:r>
      <w:proofErr w:type="spellEnd"/>
      <w:r>
        <w:rPr>
          <w:rFonts w:ascii="Montserrat" w:hAnsi="Montserrat"/>
          <w:sz w:val="18"/>
          <w:szCs w:val="18"/>
        </w:rPr>
        <w:t xml:space="preserve">, </w:t>
      </w:r>
      <w:proofErr w:type="spellStart"/>
      <w:r>
        <w:rPr>
          <w:rFonts w:ascii="Montserrat" w:hAnsi="Montserrat"/>
          <w:sz w:val="18"/>
          <w:szCs w:val="18"/>
        </w:rPr>
        <w:t>Geert</w:t>
      </w:r>
      <w:proofErr w:type="spellEnd"/>
      <w:r>
        <w:rPr>
          <w:rFonts w:ascii="Montserrat" w:hAnsi="Montserrat"/>
          <w:sz w:val="18"/>
          <w:szCs w:val="18"/>
        </w:rPr>
        <w:t xml:space="preserve"> J.T. </w:t>
      </w:r>
      <w:proofErr w:type="spellStart"/>
      <w:r>
        <w:rPr>
          <w:rFonts w:ascii="Montserrat" w:hAnsi="Montserrat"/>
          <w:sz w:val="18"/>
          <w:szCs w:val="18"/>
        </w:rPr>
        <w:t>Kessel</w:t>
      </w:r>
      <w:proofErr w:type="spellEnd"/>
      <w:r>
        <w:rPr>
          <w:rFonts w:ascii="Montserrat" w:hAnsi="Montserrat"/>
          <w:sz w:val="18"/>
          <w:szCs w:val="18"/>
        </w:rPr>
        <w:t xml:space="preserve"> &amp; Co, European Journal of </w:t>
      </w:r>
      <w:proofErr w:type="spellStart"/>
      <w:r>
        <w:rPr>
          <w:rFonts w:ascii="Montserrat" w:hAnsi="Montserrat"/>
          <w:sz w:val="18"/>
          <w:szCs w:val="18"/>
        </w:rPr>
        <w:t>Agronomy</w:t>
      </w:r>
      <w:proofErr w:type="spellEnd"/>
      <w:r>
        <w:rPr>
          <w:rFonts w:ascii="Montserrat" w:hAnsi="Montserrat"/>
          <w:sz w:val="18"/>
          <w:szCs w:val="18"/>
        </w:rPr>
        <w:t>, 2018,146-155</w:t>
      </w:r>
    </w:p>
  </w:footnote>
  <w:footnote w:id="3">
    <w:p w14:paraId="527A861D" w14:textId="0028C1EC" w:rsidR="00517307" w:rsidRPr="00517307" w:rsidRDefault="00517307">
      <w:pPr>
        <w:pStyle w:val="FootnoteText"/>
        <w:rPr>
          <w:rFonts w:ascii="Montserrat" w:hAnsi="Montserrat"/>
          <w:sz w:val="18"/>
          <w:szCs w:val="18"/>
        </w:rPr>
      </w:pPr>
      <w:r>
        <w:rPr>
          <w:rStyle w:val="FootnoteReference"/>
          <w:rFonts w:ascii="Montserrat" w:hAnsi="Montserrat"/>
          <w:sz w:val="18"/>
          <w:szCs w:val="18"/>
        </w:rPr>
        <w:footnoteRef/>
      </w:r>
      <w:r>
        <w:rPr>
          <w:rFonts w:ascii="Montserrat" w:hAnsi="Montserrat"/>
          <w:sz w:val="18"/>
          <w:szCs w:val="18"/>
        </w:rPr>
        <w:t xml:space="preserve"> </w:t>
      </w:r>
      <w:hyperlink r:id="rId1" w:history="1">
        <w:r>
          <w:rPr>
            <w:rStyle w:val="Hyperlink"/>
            <w:rFonts w:ascii="Montserrat" w:hAnsi="Montserrat"/>
            <w:sz w:val="18"/>
            <w:szCs w:val="18"/>
          </w:rPr>
          <w:t>https://agro.au.dk/forskning/internationale-platforme/euroblight/about-euroblight</w:t>
        </w:r>
      </w:hyperlink>
    </w:p>
  </w:footnote>
  <w:footnote w:id="4">
    <w:p w14:paraId="7F901BCC" w14:textId="58721005" w:rsidR="00517307" w:rsidRPr="00517307" w:rsidRDefault="00517307">
      <w:pPr>
        <w:pStyle w:val="FootnoteText"/>
        <w:rPr>
          <w:rFonts w:ascii="Montserrat" w:hAnsi="Montserrat"/>
          <w:sz w:val="18"/>
          <w:szCs w:val="18"/>
        </w:rPr>
      </w:pPr>
      <w:r>
        <w:rPr>
          <w:rStyle w:val="FootnoteReference"/>
          <w:rFonts w:ascii="Montserrat" w:hAnsi="Montserrat"/>
          <w:sz w:val="18"/>
          <w:szCs w:val="18"/>
        </w:rPr>
        <w:footnoteRef/>
      </w:r>
      <w:r>
        <w:rPr>
          <w:rFonts w:ascii="Montserrat" w:hAnsi="Montserrat"/>
          <w:sz w:val="18"/>
          <w:szCs w:val="18"/>
        </w:rPr>
        <w:t xml:space="preserve"> </w:t>
      </w:r>
      <w:hyperlink r:id="rId2" w:history="1">
        <w:r>
          <w:rPr>
            <w:rStyle w:val="Hyperlink"/>
            <w:rFonts w:ascii="Montserrat" w:hAnsi="Montserrat"/>
            <w:sz w:val="18"/>
            <w:szCs w:val="18"/>
          </w:rPr>
          <w:t>https://www.frac.info/</w:t>
        </w:r>
      </w:hyperlink>
    </w:p>
  </w:footnote>
  <w:footnote w:id="5">
    <w:p w14:paraId="43284707" w14:textId="77777777" w:rsidR="006F0280" w:rsidRPr="00F15F08" w:rsidRDefault="006F0280" w:rsidP="006F0280">
      <w:pPr>
        <w:pStyle w:val="FootnoteText"/>
      </w:pPr>
      <w:r>
        <w:rPr>
          <w:rStyle w:val="FootnoteReference"/>
          <w:rFonts w:ascii="Montserrat" w:hAnsi="Montserrat"/>
          <w:sz w:val="18"/>
          <w:szCs w:val="18"/>
        </w:rPr>
        <w:footnoteRef/>
      </w:r>
      <w:r>
        <w:rPr>
          <w:rFonts w:ascii="Montserrat" w:hAnsi="Montserrat"/>
          <w:sz w:val="18"/>
          <w:szCs w:val="18"/>
        </w:rPr>
        <w:t xml:space="preserve"> </w:t>
      </w:r>
      <w:hyperlink r:id="rId3" w:history="1">
        <w:r>
          <w:rPr>
            <w:rStyle w:val="Hyperlink"/>
            <w:rFonts w:ascii="Montserrat" w:hAnsi="Montserrat"/>
            <w:sz w:val="18"/>
            <w:szCs w:val="18"/>
          </w:rPr>
          <w:t>https://www.bo-akkerbouw.nl/nieuws/kleurenschema-voor-toets-middelengebruik-phytophthora</w:t>
        </w:r>
      </w:hyperlink>
      <w:r>
        <w:rPr>
          <w:rStyle w:val="Hyperlink"/>
          <w:rFonts w:ascii="Montserrat" w:hAnsi="Montserrat"/>
          <w:sz w:val="18"/>
          <w:szCs w:val="18"/>
        </w:rPr>
        <w:t>),</w:t>
      </w:r>
    </w:p>
  </w:footnote>
  <w:footnote w:id="6">
    <w:p w14:paraId="19DB48F6" w14:textId="0F8E474E" w:rsidR="005E5394" w:rsidRPr="007337E9" w:rsidRDefault="005E5394">
      <w:pPr>
        <w:pStyle w:val="FootnoteText"/>
        <w:rPr>
          <w:rFonts w:ascii="Montserrat" w:hAnsi="Montserrat"/>
          <w:sz w:val="18"/>
          <w:szCs w:val="18"/>
        </w:rPr>
      </w:pPr>
      <w:r>
        <w:rPr>
          <w:rStyle w:val="FootnoteReference"/>
          <w:rFonts w:ascii="Montserrat" w:hAnsi="Montserrat"/>
          <w:sz w:val="18"/>
          <w:szCs w:val="18"/>
        </w:rPr>
        <w:footnoteRef/>
      </w:r>
      <w:r>
        <w:rPr>
          <w:rFonts w:ascii="Montserrat" w:hAnsi="Montserrat"/>
          <w:sz w:val="18"/>
          <w:szCs w:val="18"/>
        </w:rPr>
        <w:t xml:space="preserve"> </w:t>
      </w:r>
      <w:hyperlink r:id="rId4" w:anchor="Values_and_prices" w:history="1">
        <w:r>
          <w:rPr>
            <w:rStyle w:val="Hyperlink"/>
            <w:rFonts w:ascii="Montserrat" w:hAnsi="Montserrat"/>
            <w:sz w:val="18"/>
            <w:szCs w:val="18"/>
          </w:rPr>
          <w:t>https://ec.europa.eu/eurostat/statistics-explained/index.php?title=The_EU_potato_sector_-_statistics_on_production,_prices_and_trade#Values_and_prices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E25C9"/>
    <w:multiLevelType w:val="hybridMultilevel"/>
    <w:tmpl w:val="5518E46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A046D92"/>
    <w:multiLevelType w:val="hybridMultilevel"/>
    <w:tmpl w:val="790E89F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BC93CAF"/>
    <w:multiLevelType w:val="hybridMultilevel"/>
    <w:tmpl w:val="B1548C3C"/>
    <w:lvl w:ilvl="0" w:tplc="2000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3EED4E7B"/>
    <w:multiLevelType w:val="hybridMultilevel"/>
    <w:tmpl w:val="2D78A7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59C2DD4"/>
    <w:multiLevelType w:val="hybridMultilevel"/>
    <w:tmpl w:val="991A1064"/>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6987BFA"/>
    <w:multiLevelType w:val="hybridMultilevel"/>
    <w:tmpl w:val="E90ADD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19432237">
    <w:abstractNumId w:val="1"/>
  </w:num>
  <w:num w:numId="2" w16cid:durableId="29260220">
    <w:abstractNumId w:val="3"/>
  </w:num>
  <w:num w:numId="3" w16cid:durableId="309990535">
    <w:abstractNumId w:val="2"/>
  </w:num>
  <w:num w:numId="4" w16cid:durableId="1078017147">
    <w:abstractNumId w:val="0"/>
  </w:num>
  <w:num w:numId="5" w16cid:durableId="300156646">
    <w:abstractNumId w:val="5"/>
  </w:num>
  <w:num w:numId="6" w16cid:durableId="136108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80"/>
    <w:rsid w:val="001E097B"/>
    <w:rsid w:val="002430D8"/>
    <w:rsid w:val="00253AC1"/>
    <w:rsid w:val="00257C97"/>
    <w:rsid w:val="00391AC4"/>
    <w:rsid w:val="003A011E"/>
    <w:rsid w:val="003C3738"/>
    <w:rsid w:val="003C5DCC"/>
    <w:rsid w:val="0050259F"/>
    <w:rsid w:val="00511CC1"/>
    <w:rsid w:val="00517307"/>
    <w:rsid w:val="00546CC6"/>
    <w:rsid w:val="00551B94"/>
    <w:rsid w:val="005E5394"/>
    <w:rsid w:val="0063467F"/>
    <w:rsid w:val="006D3C08"/>
    <w:rsid w:val="006D4C1A"/>
    <w:rsid w:val="006F0280"/>
    <w:rsid w:val="00726C65"/>
    <w:rsid w:val="007337E9"/>
    <w:rsid w:val="00757D5A"/>
    <w:rsid w:val="007B1ABE"/>
    <w:rsid w:val="008179F8"/>
    <w:rsid w:val="00840D8E"/>
    <w:rsid w:val="008A538C"/>
    <w:rsid w:val="0093750D"/>
    <w:rsid w:val="00997B74"/>
    <w:rsid w:val="009F73F8"/>
    <w:rsid w:val="00A14950"/>
    <w:rsid w:val="00A45E4F"/>
    <w:rsid w:val="00C11206"/>
    <w:rsid w:val="00C44F2D"/>
    <w:rsid w:val="00CA6855"/>
    <w:rsid w:val="00CC066A"/>
    <w:rsid w:val="00D17A1B"/>
    <w:rsid w:val="00D67AA1"/>
    <w:rsid w:val="00D75423"/>
    <w:rsid w:val="00D818B2"/>
    <w:rsid w:val="00DB17DB"/>
    <w:rsid w:val="00E71ABF"/>
    <w:rsid w:val="00E80F96"/>
    <w:rsid w:val="00EB5794"/>
    <w:rsid w:val="00ED19F4"/>
    <w:rsid w:val="00F30E4E"/>
    <w:rsid w:val="00F35249"/>
    <w:rsid w:val="00F611A9"/>
    <w:rsid w:val="00FA34E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FCE9"/>
  <w15:chartTrackingRefBased/>
  <w15:docId w15:val="{DA46D3B3-B9ED-400C-BCBD-A80B7F9D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280"/>
    <w:rPr>
      <w:rFonts w:eastAsiaTheme="majorEastAsia" w:cstheme="majorBidi"/>
      <w:color w:val="272727" w:themeColor="text1" w:themeTint="D8"/>
    </w:rPr>
  </w:style>
  <w:style w:type="paragraph" w:styleId="Title">
    <w:name w:val="Title"/>
    <w:basedOn w:val="Normal"/>
    <w:next w:val="Normal"/>
    <w:link w:val="TitleChar"/>
    <w:uiPriority w:val="10"/>
    <w:qFormat/>
    <w:rsid w:val="006F0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280"/>
    <w:pPr>
      <w:spacing w:before="160"/>
      <w:jc w:val="center"/>
    </w:pPr>
    <w:rPr>
      <w:i/>
      <w:iCs/>
      <w:color w:val="404040" w:themeColor="text1" w:themeTint="BF"/>
    </w:rPr>
  </w:style>
  <w:style w:type="character" w:customStyle="1" w:styleId="QuoteChar">
    <w:name w:val="Quote Char"/>
    <w:basedOn w:val="DefaultParagraphFont"/>
    <w:link w:val="Quote"/>
    <w:uiPriority w:val="29"/>
    <w:rsid w:val="006F0280"/>
    <w:rPr>
      <w:i/>
      <w:iCs/>
      <w:color w:val="404040" w:themeColor="text1" w:themeTint="BF"/>
    </w:rPr>
  </w:style>
  <w:style w:type="paragraph" w:styleId="ListParagraph">
    <w:name w:val="List Paragraph"/>
    <w:basedOn w:val="Normal"/>
    <w:uiPriority w:val="34"/>
    <w:qFormat/>
    <w:rsid w:val="006F0280"/>
    <w:pPr>
      <w:ind w:left="720"/>
      <w:contextualSpacing/>
    </w:pPr>
  </w:style>
  <w:style w:type="character" w:styleId="IntenseEmphasis">
    <w:name w:val="Intense Emphasis"/>
    <w:basedOn w:val="DefaultParagraphFont"/>
    <w:uiPriority w:val="21"/>
    <w:qFormat/>
    <w:rsid w:val="006F0280"/>
    <w:rPr>
      <w:i/>
      <w:iCs/>
      <w:color w:val="0F4761" w:themeColor="accent1" w:themeShade="BF"/>
    </w:rPr>
  </w:style>
  <w:style w:type="paragraph" w:styleId="IntenseQuote">
    <w:name w:val="Intense Quote"/>
    <w:basedOn w:val="Normal"/>
    <w:next w:val="Normal"/>
    <w:link w:val="IntenseQuoteChar"/>
    <w:uiPriority w:val="30"/>
    <w:qFormat/>
    <w:rsid w:val="006F0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280"/>
    <w:rPr>
      <w:i/>
      <w:iCs/>
      <w:color w:val="0F4761" w:themeColor="accent1" w:themeShade="BF"/>
    </w:rPr>
  </w:style>
  <w:style w:type="character" w:styleId="IntenseReference">
    <w:name w:val="Intense Reference"/>
    <w:basedOn w:val="DefaultParagraphFont"/>
    <w:uiPriority w:val="32"/>
    <w:qFormat/>
    <w:rsid w:val="006F0280"/>
    <w:rPr>
      <w:b/>
      <w:bCs/>
      <w:smallCaps/>
      <w:color w:val="0F4761" w:themeColor="accent1" w:themeShade="BF"/>
      <w:spacing w:val="5"/>
    </w:rPr>
  </w:style>
  <w:style w:type="paragraph" w:styleId="FootnoteText">
    <w:name w:val="footnote text"/>
    <w:basedOn w:val="Normal"/>
    <w:link w:val="FootnoteTextChar"/>
    <w:uiPriority w:val="99"/>
    <w:semiHidden/>
    <w:unhideWhenUsed/>
    <w:rsid w:val="006F02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0280"/>
    <w:rPr>
      <w:sz w:val="20"/>
      <w:szCs w:val="20"/>
    </w:rPr>
  </w:style>
  <w:style w:type="character" w:styleId="FootnoteReference">
    <w:name w:val="footnote reference"/>
    <w:rsid w:val="006F0280"/>
    <w:rPr>
      <w:vertAlign w:val="superscript"/>
    </w:rPr>
  </w:style>
  <w:style w:type="character" w:styleId="Hyperlink">
    <w:name w:val="Hyperlink"/>
    <w:rsid w:val="006F0280"/>
    <w:rPr>
      <w:color w:val="0563C1"/>
      <w:u w:val="single"/>
    </w:rPr>
  </w:style>
  <w:style w:type="paragraph" w:customStyle="1" w:styleId="paragraph">
    <w:name w:val="paragraph"/>
    <w:basedOn w:val="Normal"/>
    <w:rsid w:val="00551B9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51B94"/>
  </w:style>
  <w:style w:type="table" w:styleId="TableGrid">
    <w:name w:val="Table Grid"/>
    <w:basedOn w:val="TableNormal"/>
    <w:uiPriority w:val="39"/>
    <w:rsid w:val="00726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7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3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bo-akkerbouw.nl/nieuws/kleurenschema-voor-toets-middelengebruik-phytophthora" TargetMode="External"/><Relationship Id="rId2" Type="http://schemas.openxmlformats.org/officeDocument/2006/relationships/hyperlink" Target="https://www.frac.info/" TargetMode="External"/><Relationship Id="rId1" Type="http://schemas.openxmlformats.org/officeDocument/2006/relationships/hyperlink" Target="https://agro.au.dk/forskning/internationale-platforme/euroblight/about-euroblight" TargetMode="External"/><Relationship Id="rId4" Type="http://schemas.openxmlformats.org/officeDocument/2006/relationships/hyperlink" Target="https://ec.europa.eu/eurostat/statistics-explained/index.php?title=The_EU_potato_sector_-_statistics_on_production,_prices_and_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4FB807-254A-448A-89E1-704F837FA296}">
  <we:reference id="9fc81053-8729-42d3-b0f1-395c7f866f1f" version="1.0.0.1" store="https://pwid2174.sharepoint.com/sites/appcatalog" storeType="SP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1259-3CA7-4FF2-8411-448051A2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1936</Words>
  <Characters>11559</Characters>
  <Application>Microsoft Office Word</Application>
  <DocSecurity>0</DocSecurity>
  <Lines>210</Lines>
  <Paragraphs>62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Dejonckheere</dc:creator>
  <cp:keywords/>
  <dc:description/>
  <cp:lastModifiedBy>Dominique Dejonckheere</cp:lastModifiedBy>
  <cp:revision>17</cp:revision>
  <dcterms:created xsi:type="dcterms:W3CDTF">2024-05-28T09:38:00Z</dcterms:created>
  <dcterms:modified xsi:type="dcterms:W3CDTF">2024-05-28T14:36:00Z</dcterms:modified>
</cp:coreProperties>
</file>

<file path=docProps/custom.xml><?xml version="1.0" encoding="utf-8"?>
<op:Properties xmlns:vt="http://schemas.openxmlformats.org/officeDocument/2006/docPropsVTypes" xmlns:op="http://schemas.openxmlformats.org/officeDocument/2006/custom-properties"/>
</file>