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CD52D" w14:textId="68A1735B" w:rsidR="000356F5" w:rsidRDefault="00767438" w:rsidP="00444D88">
      <w:pPr>
        <w:spacing w:after="0"/>
        <w:rPr>
          <w:rFonts w:ascii="Montserrat" w:hAnsi="Montserrat"/>
        </w:rPr>
      </w:pPr>
      <w:r>
        <w:rPr>
          <w:rStyle w:val="CCNormal"/>
        </w:rPr>
        <w:t>Ref.</w:t>
      </w:r>
      <w:r>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r w:rsidR="0040786F">
        <w:rPr>
          <w:rFonts w:ascii="Montserrat" w:hAnsi="Montserrat"/>
        </w:rPr>
        <w:t>COMM(25)00223[1]</w:t>
      </w:r>
      <w:r w:rsidR="00380165">
        <w:rPr>
          <w:rFonts w:ascii="Montserrat" w:hAnsi="Montserrat"/>
        </w:rPr>
        <w:fldChar w:fldCharType="end"/>
      </w:r>
      <w:r>
        <w:rPr>
          <w:rFonts w:ascii="Montserrat" w:hAnsi="Montserrat"/>
        </w:rPr>
        <w:tab/>
      </w:r>
      <w:r w:rsidR="0040786F">
        <w:rPr>
          <w:rFonts w:ascii="Montserrat" w:hAnsi="Montserrat"/>
        </w:rPr>
        <w:tab/>
      </w:r>
      <w:r w:rsidR="0040786F">
        <w:rPr>
          <w:rFonts w:ascii="Montserrat" w:hAnsi="Montserrat"/>
        </w:rPr>
        <w:tab/>
      </w:r>
      <w:r w:rsidR="0040786F">
        <w:rPr>
          <w:rFonts w:ascii="Montserrat" w:hAnsi="Montserrat"/>
        </w:rPr>
        <w:tab/>
      </w:r>
      <w:r w:rsidR="0040786F">
        <w:rPr>
          <w:rFonts w:ascii="Montserrat" w:hAnsi="Montserrat"/>
        </w:rPr>
        <w:tab/>
      </w:r>
      <w:r>
        <w:rPr>
          <w:rStyle w:val="CCNormal"/>
        </w:rPr>
        <w:t>El 29 de enero de 2025</w:t>
      </w:r>
    </w:p>
    <w:p w14:paraId="688AFCEB" w14:textId="77777777" w:rsidR="00444D88" w:rsidRPr="00444D88" w:rsidRDefault="00444D88" w:rsidP="00444D88">
      <w:pPr>
        <w:spacing w:after="0"/>
        <w:rPr>
          <w:rStyle w:val="CCType"/>
          <w:b w:val="0"/>
          <w:bCs w:val="0"/>
          <w:color w:val="404040" w:themeColor="text1" w:themeTint="BF"/>
          <w:sz w:val="22"/>
        </w:rPr>
      </w:pPr>
    </w:p>
    <w:p w14:paraId="770B00C0" w14:textId="700BBC43" w:rsidR="00182716" w:rsidRPr="00B37D8B" w:rsidRDefault="00444D88" w:rsidP="009A78D2">
      <w:pPr>
        <w:jc w:val="left"/>
        <w:rPr>
          <w:rStyle w:val="CCType"/>
        </w:rPr>
      </w:pPr>
      <w:r>
        <w:rPr>
          <w:rStyle w:val="CCType"/>
        </w:rPr>
        <w:t>Comunicado de prensa</w:t>
      </w:r>
    </w:p>
    <w:p w14:paraId="7D49BE1A" w14:textId="77777777" w:rsidR="00444D88" w:rsidRDefault="00444D88" w:rsidP="001E1ED9">
      <w:pPr>
        <w:rPr>
          <w:rFonts w:ascii="Montserrat" w:hAnsi="Montserrat"/>
          <w:b/>
          <w:bCs/>
          <w:color w:val="767171" w:themeColor="background2" w:themeShade="80"/>
          <w:sz w:val="28"/>
          <w:szCs w:val="18"/>
        </w:rPr>
      </w:pPr>
      <w:r>
        <w:rPr>
          <w:rFonts w:ascii="Montserrat" w:hAnsi="Montserrat"/>
          <w:b/>
          <w:color w:val="767171" w:themeColor="background2" w:themeShade="80"/>
          <w:sz w:val="28"/>
        </w:rPr>
        <w:t xml:space="preserve">La paradoja de la Comisión: las sanciones a los fertilizantes ponen contra las cuerdas al sector agrario europeo en plena estrategia en pro de la competitividad </w:t>
      </w:r>
    </w:p>
    <w:p w14:paraId="110EE32F" w14:textId="77777777" w:rsidR="00444D88" w:rsidRDefault="00444D88" w:rsidP="00444D88">
      <w:pPr>
        <w:rPr>
          <w:rFonts w:ascii="Montserrat" w:hAnsi="Montserrat"/>
          <w:b/>
          <w:color w:val="7F7F7F" w:themeColor="text1" w:themeTint="80"/>
        </w:rPr>
      </w:pPr>
      <w:r>
        <w:rPr>
          <w:rFonts w:ascii="Montserrat" w:hAnsi="Montserrat"/>
          <w:b/>
          <w:color w:val="7F7F7F" w:themeColor="text1" w:themeTint="80"/>
        </w:rPr>
        <w:t xml:space="preserve">El mismo día que la Comisión Europea daba a conocer la Brújula Estratégica para la competitividad de la UE, también presentó una propuesta con vistas a imponer sanciones a los fertilizantes provenientes de Rusia y </w:t>
      </w:r>
      <w:proofErr w:type="spellStart"/>
      <w:r>
        <w:rPr>
          <w:rFonts w:ascii="Montserrat" w:hAnsi="Montserrat"/>
          <w:b/>
          <w:color w:val="7F7F7F" w:themeColor="text1" w:themeTint="80"/>
        </w:rPr>
        <w:t>Belarús</w:t>
      </w:r>
      <w:proofErr w:type="spellEnd"/>
      <w:r>
        <w:rPr>
          <w:rFonts w:ascii="Montserrat" w:hAnsi="Montserrat"/>
          <w:b/>
          <w:color w:val="7F7F7F" w:themeColor="text1" w:themeTint="80"/>
        </w:rPr>
        <w:t xml:space="preserve">; una iniciativa que provocará efectos de gran calado en la producción agropecuaria y la competitividad de dicho sector. Sin una estrategia clara de diversificación, los agricultores europeos acabarán pronto entre la espada y la pared. </w:t>
      </w:r>
    </w:p>
    <w:p w14:paraId="6683682C" w14:textId="3D3F85D5" w:rsidR="00444D88" w:rsidRDefault="00444D88" w:rsidP="00444D88">
      <w:pPr>
        <w:rPr>
          <w:rStyle w:val="CCNormal"/>
          <w:sz w:val="20"/>
          <w:szCs w:val="20"/>
        </w:rPr>
      </w:pPr>
      <w:r>
        <w:rPr>
          <w:rStyle w:val="CCNormal"/>
          <w:sz w:val="20"/>
        </w:rPr>
        <w:t>La Unión Europea lleva años lidiando para abastecer la demanda de fertilizantes ante una producción europea insuficiente, por lo que la importación de tales productos resulta inevitable.</w:t>
      </w:r>
      <w:r w:rsidR="00537B2C">
        <w:rPr>
          <w:rStyle w:val="CCNormal"/>
          <w:sz w:val="20"/>
        </w:rPr>
        <w:t xml:space="preserve"> </w:t>
      </w:r>
      <w:r>
        <w:rPr>
          <w:rStyle w:val="CCNormal"/>
          <w:sz w:val="20"/>
        </w:rPr>
        <w:t xml:space="preserve">La situación no ha hecho más que empeorar debido al cierre de varias plantas de fabricación de fertilizantes en distintos Estados miembros de la UE. Además, la puesta en práctica del «Mecanismo de ajuste en frontera por emisiones de carbono» en la UE acarreará una mayor subida de los costes tanto de la producción intracomunitaria como de los proveedores de terceros países que acceden al mercado de la UE. </w:t>
      </w:r>
    </w:p>
    <w:p w14:paraId="5A403A92" w14:textId="77777777" w:rsidR="00444D88" w:rsidRDefault="00444D88" w:rsidP="00444D88">
      <w:pPr>
        <w:rPr>
          <w:rStyle w:val="CCNormal"/>
          <w:sz w:val="20"/>
          <w:szCs w:val="20"/>
        </w:rPr>
      </w:pPr>
      <w:r>
        <w:rPr>
          <w:rFonts w:ascii="Montserrat" w:hAnsi="Montserrat"/>
          <w:color w:val="3B3838" w:themeColor="background2" w:themeShade="40"/>
          <w:sz w:val="20"/>
        </w:rPr>
        <w:t xml:space="preserve">Si bien consideramos legítimas las razones geopolíticas que han llevado a la Comisión a tomar medidas, será el sector agropecuario el que tenga que hacer frente a las repercusiones económicas de tales decisiones. </w:t>
      </w:r>
      <w:r>
        <w:rPr>
          <w:rStyle w:val="CCNormal"/>
          <w:sz w:val="20"/>
        </w:rPr>
        <w:t xml:space="preserve">En la actualidad, los agricultores europeos no cuentan con ninguna garantía de que la carestía de fertilizantes se vaya a compensar con un incremento de la producción interior de fertilizante a precios competitivos, argumento que aducen los partidarios de las sanciones anunciadas. Las medidas de la Comisión incrementarían el precio de los fertilizantes en, al menos, entre 40 € y 45 € por tonelada de cara a la próxima campaña agrícola. Esto añadiría una mayor presión financiera a las operaciones agrícolas, que hoy por hoy ya se desarrollan en una coyuntura económica harto difícil. Las consecuencias para la producción agrícola, la competitividad del sector agro y la renta de los agricultores podrían ser catastróficas. </w:t>
      </w:r>
    </w:p>
    <w:p w14:paraId="6D13E407" w14:textId="77777777" w:rsidR="00444D88" w:rsidRDefault="00444D88" w:rsidP="00444D88">
      <w:pPr>
        <w:rPr>
          <w:rFonts w:ascii="Montserrat" w:hAnsi="Montserrat"/>
          <w:color w:val="3B3838" w:themeColor="background2" w:themeShade="40"/>
          <w:sz w:val="20"/>
          <w:szCs w:val="20"/>
        </w:rPr>
      </w:pPr>
      <w:r>
        <w:rPr>
          <w:rFonts w:ascii="Montserrat" w:hAnsi="Montserrat"/>
          <w:color w:val="3B3838" w:themeColor="background2" w:themeShade="40"/>
          <w:sz w:val="20"/>
        </w:rPr>
        <w:t>La propuesta de la Comisión es insatisfactoria e insuficiente para la comunidad agropecuaria de la UE en muchos aspectos, ya se trate de los elevadísimos aranceles que se aplicarán a partir de julio de 2025, del planteamiento gradual para las sanciones o de la propuesta de suspensión temporal basada en los precios de 2024 que ya superaban los niveles anteriores al estallido de la guerra. Lo más preocupante de la propuesta de la Comisión es que carece de medidas a medio o largo plazo con el fin de ofrecer posibilidades alentadoras al sector, bien mediante una diversificación de las fuentes de abastecimiento, bien mediante las medidas de mitigación urgentes que se enumeran a continuación:</w:t>
      </w:r>
    </w:p>
    <w:p w14:paraId="2F1FDD73" w14:textId="77777777" w:rsidR="00444D88" w:rsidRPr="009E08D6" w:rsidRDefault="00444D88" w:rsidP="00444D88">
      <w:pPr>
        <w:numPr>
          <w:ilvl w:val="0"/>
          <w:numId w:val="11"/>
        </w:numPr>
        <w:rPr>
          <w:rFonts w:ascii="Montserrat" w:hAnsi="Montserrat"/>
          <w:color w:val="3B3838" w:themeColor="background2" w:themeShade="40"/>
          <w:sz w:val="20"/>
          <w:szCs w:val="20"/>
        </w:rPr>
      </w:pPr>
      <w:r>
        <w:rPr>
          <w:rFonts w:ascii="Montserrat" w:hAnsi="Montserrat"/>
          <w:b/>
          <w:bCs/>
          <w:color w:val="3B3838" w:themeColor="background2" w:themeShade="40"/>
          <w:sz w:val="20"/>
        </w:rPr>
        <w:lastRenderedPageBreak/>
        <w:t xml:space="preserve">La eliminación de los derechos </w:t>
      </w:r>
      <w:r>
        <w:rPr>
          <w:rFonts w:ascii="Montserrat" w:hAnsi="Montserrat"/>
          <w:b/>
          <w:bCs/>
          <w:i/>
          <w:iCs/>
          <w:color w:val="3B3838" w:themeColor="background2" w:themeShade="40"/>
          <w:sz w:val="20"/>
        </w:rPr>
        <w:t>antidumping</w:t>
      </w:r>
      <w:r>
        <w:rPr>
          <w:rFonts w:ascii="Montserrat" w:hAnsi="Montserrat"/>
          <w:i/>
          <w:iCs/>
          <w:color w:val="3B3838" w:themeColor="background2" w:themeShade="40"/>
          <w:sz w:val="20"/>
        </w:rPr>
        <w:t xml:space="preserve"> </w:t>
      </w:r>
      <w:r>
        <w:rPr>
          <w:rFonts w:ascii="Montserrat" w:hAnsi="Montserrat"/>
          <w:color w:val="3B3838" w:themeColor="background2" w:themeShade="40"/>
          <w:sz w:val="20"/>
        </w:rPr>
        <w:t>que gravan las importaciones de urea, nitrato de amonio y mezclas de urea y nitrato de amonio [UAN] provenientes de EE. UU. y Trinidad y Tobago.</w:t>
      </w:r>
    </w:p>
    <w:p w14:paraId="747F56D2" w14:textId="77777777" w:rsidR="00444D88" w:rsidRPr="009E08D6" w:rsidRDefault="00444D88" w:rsidP="00444D88">
      <w:pPr>
        <w:numPr>
          <w:ilvl w:val="0"/>
          <w:numId w:val="11"/>
        </w:numPr>
        <w:rPr>
          <w:rFonts w:ascii="Montserrat" w:hAnsi="Montserrat"/>
          <w:color w:val="3B3838" w:themeColor="background2" w:themeShade="40"/>
          <w:sz w:val="20"/>
          <w:szCs w:val="20"/>
        </w:rPr>
      </w:pPr>
      <w:r>
        <w:rPr>
          <w:rFonts w:ascii="Montserrat" w:hAnsi="Montserrat"/>
          <w:b/>
          <w:bCs/>
          <w:color w:val="3B3838" w:themeColor="background2" w:themeShade="40"/>
          <w:sz w:val="20"/>
        </w:rPr>
        <w:t>La suspensión de los derechos convencionales</w:t>
      </w:r>
      <w:r>
        <w:rPr>
          <w:rFonts w:ascii="Montserrat" w:hAnsi="Montserrat"/>
          <w:color w:val="3B3838" w:themeColor="background2" w:themeShade="40"/>
          <w:sz w:val="20"/>
        </w:rPr>
        <w:t xml:space="preserve"> que gravan las importaciones de urea, UAN, DAP [fosfato </w:t>
      </w:r>
      <w:proofErr w:type="spellStart"/>
      <w:r>
        <w:rPr>
          <w:rFonts w:ascii="Montserrat" w:hAnsi="Montserrat"/>
          <w:color w:val="3B3838" w:themeColor="background2" w:themeShade="40"/>
          <w:sz w:val="20"/>
        </w:rPr>
        <w:t>diamónico</w:t>
      </w:r>
      <w:proofErr w:type="spellEnd"/>
      <w:r>
        <w:rPr>
          <w:rFonts w:ascii="Montserrat" w:hAnsi="Montserrat"/>
          <w:color w:val="3B3838" w:themeColor="background2" w:themeShade="40"/>
          <w:sz w:val="20"/>
        </w:rPr>
        <w:t>], MAP [fosfato monoamónico] y fertilizantes tipo NPK (con los códigos 3102 10, 3102 80, 3105 30, 3105 40 y 3105 20 de la nomenclatura arancelaria).</w:t>
      </w:r>
    </w:p>
    <w:p w14:paraId="5432B285" w14:textId="77777777" w:rsidR="00444D88" w:rsidRPr="009E08D6" w:rsidRDefault="00444D88" w:rsidP="00444D88">
      <w:pPr>
        <w:numPr>
          <w:ilvl w:val="0"/>
          <w:numId w:val="11"/>
        </w:numPr>
        <w:rPr>
          <w:rFonts w:ascii="Montserrat" w:hAnsi="Montserrat"/>
          <w:color w:val="3B3838" w:themeColor="background2" w:themeShade="40"/>
          <w:sz w:val="20"/>
          <w:szCs w:val="20"/>
        </w:rPr>
      </w:pPr>
      <w:r>
        <w:rPr>
          <w:rFonts w:ascii="Montserrat" w:hAnsi="Montserrat"/>
          <w:b/>
          <w:bCs/>
          <w:color w:val="3B3838" w:themeColor="background2" w:themeShade="40"/>
          <w:sz w:val="20"/>
        </w:rPr>
        <w:t>La concesión de exenciones al cumplimiento de la Directiva sobre nitratos</w:t>
      </w:r>
      <w:r>
        <w:rPr>
          <w:rFonts w:ascii="Montserrat" w:hAnsi="Montserrat"/>
          <w:color w:val="3B3838" w:themeColor="background2" w:themeShade="40"/>
          <w:sz w:val="20"/>
        </w:rPr>
        <w:t xml:space="preserve"> con el fin de permitir el uso de efluentes ganaderos transformados por encima del límite vigente de 170 kg N/hectárea, como el RENURE (nitrógeno recuperado del estiércol, por sus siglas en inglés) y determinados </w:t>
      </w:r>
      <w:proofErr w:type="spellStart"/>
      <w:r>
        <w:rPr>
          <w:rFonts w:ascii="Montserrat" w:hAnsi="Montserrat"/>
          <w:color w:val="3B3838" w:themeColor="background2" w:themeShade="40"/>
          <w:sz w:val="20"/>
        </w:rPr>
        <w:t>digestatos</w:t>
      </w:r>
      <w:proofErr w:type="spellEnd"/>
      <w:r>
        <w:rPr>
          <w:rFonts w:ascii="Montserrat" w:hAnsi="Montserrat"/>
          <w:color w:val="3B3838" w:themeColor="background2" w:themeShade="40"/>
          <w:sz w:val="20"/>
        </w:rPr>
        <w:t>.</w:t>
      </w:r>
    </w:p>
    <w:p w14:paraId="37F77873" w14:textId="77777777" w:rsidR="00444D88" w:rsidRPr="00347668" w:rsidRDefault="00444D88" w:rsidP="00444D88">
      <w:pPr>
        <w:rPr>
          <w:rFonts w:ascii="Montserrat" w:hAnsi="Montserrat"/>
          <w:color w:val="3B3838" w:themeColor="background2" w:themeShade="40"/>
          <w:sz w:val="20"/>
          <w:szCs w:val="20"/>
        </w:rPr>
      </w:pPr>
      <w:r>
        <w:rPr>
          <w:rStyle w:val="CCNormal"/>
          <w:sz w:val="20"/>
        </w:rPr>
        <w:t xml:space="preserve">Tras la complejidad de este expediente subyace un problema fundamental: el del futuro de la agricultura europea y la seguridad alimentaria en la UE. Desde el Copa y la </w:t>
      </w:r>
      <w:proofErr w:type="spellStart"/>
      <w:r>
        <w:rPr>
          <w:rStyle w:val="CCNormal"/>
          <w:sz w:val="20"/>
        </w:rPr>
        <w:t>Cogeca</w:t>
      </w:r>
      <w:proofErr w:type="spellEnd"/>
      <w:r>
        <w:rPr>
          <w:rStyle w:val="CCNormal"/>
          <w:sz w:val="20"/>
        </w:rPr>
        <w:t xml:space="preserve"> instamos a los Estados miembros y al Parlamento Europeo a tratar apremiantemente esta cuestión. </w:t>
      </w:r>
      <w:r>
        <w:rPr>
          <w:rFonts w:ascii="Montserrat" w:hAnsi="Montserrat"/>
          <w:color w:val="3B3838" w:themeColor="background2" w:themeShade="40"/>
          <w:sz w:val="20"/>
        </w:rPr>
        <w:t xml:space="preserve">Asimismo, esperamos que el flamante comisario de Agricultura, </w:t>
      </w:r>
      <w:proofErr w:type="spellStart"/>
      <w:r>
        <w:rPr>
          <w:rFonts w:ascii="Montserrat" w:hAnsi="Montserrat"/>
          <w:color w:val="3B3838" w:themeColor="background2" w:themeShade="40"/>
          <w:sz w:val="20"/>
        </w:rPr>
        <w:t>Christophe</w:t>
      </w:r>
      <w:proofErr w:type="spellEnd"/>
      <w:r>
        <w:rPr>
          <w:rFonts w:ascii="Montserrat" w:hAnsi="Montserrat"/>
          <w:color w:val="3B3838" w:themeColor="background2" w:themeShade="40"/>
          <w:sz w:val="20"/>
        </w:rPr>
        <w:t xml:space="preserve"> Hansen, tome cartas en el asunto sin más tardar con el fin de hallar soluciones que eviten una nueva crisis agrícola que quizás ya se empiece a vislumbrar.</w:t>
      </w:r>
    </w:p>
    <w:p w14:paraId="075A9A36" w14:textId="77777777" w:rsidR="00182716" w:rsidRPr="00135F43" w:rsidRDefault="00000000" w:rsidP="00244682">
      <w:sdt>
        <w:sdtPr>
          <w:rPr>
            <w:rFonts w:ascii="Montserrat" w:hAnsi="Montserrat"/>
            <w:b/>
            <w:bCs/>
            <w:color w:val="697331"/>
            <w:sz w:val="28"/>
            <w:szCs w:val="28"/>
          </w:rPr>
          <w:id w:val="636535682"/>
          <w:placeholder>
            <w:docPart w:val="33F6B33A6C8A465B8706C930569F2DF3"/>
          </w:placeholder>
          <w:temporary/>
        </w:sdtPr>
        <w:sdtContent>
          <w:r w:rsidR="00444D88">
            <w:rPr>
              <w:rFonts w:ascii="Montserrat" w:hAnsi="Montserrat"/>
              <w:b/>
              <w:color w:val="697331"/>
              <w:sz w:val="28"/>
            </w:rPr>
            <w:t>-FIN-</w:t>
          </w:r>
        </w:sdtContent>
      </w:sdt>
      <w:r w:rsidR="00444D88">
        <w:rPr>
          <w:rFonts w:ascii="Montserrat" w:hAnsi="Montserrat"/>
          <w:b/>
          <w:color w:val="697331"/>
          <w:sz w:val="28"/>
        </w:rPr>
        <w:t xml:space="preserve"> </w:t>
      </w:r>
    </w:p>
    <w:p w14:paraId="39DABFDE" w14:textId="77777777" w:rsidR="000356F5" w:rsidRPr="000356F5" w:rsidRDefault="000356F5" w:rsidP="00DF6217">
      <w:pPr>
        <w:pStyle w:val="CCDocBody"/>
        <w:rPr>
          <w:rFonts w:ascii="Montserrat" w:hAnsi="Montserrat"/>
          <w:color w:val="3A3838"/>
          <w:sz w:val="20"/>
          <w:szCs w:val="20"/>
        </w:rPr>
      </w:pPr>
      <w:r>
        <w:rPr>
          <w:rFonts w:ascii="Montserrat" w:hAnsi="Montserrat"/>
          <w:color w:val="3A3838"/>
          <w:sz w:val="20"/>
        </w:rPr>
        <w:t>El presente texto se pondrá a disposición próximamente en el sitio web del Copa-</w:t>
      </w:r>
      <w:proofErr w:type="spellStart"/>
      <w:r>
        <w:rPr>
          <w:rFonts w:ascii="Montserrat" w:hAnsi="Montserrat"/>
          <w:color w:val="3A3838"/>
          <w:sz w:val="20"/>
        </w:rPr>
        <w:t>Cogeca</w:t>
      </w:r>
      <w:proofErr w:type="spellEnd"/>
      <w:r>
        <w:rPr>
          <w:rFonts w:ascii="Montserrat" w:hAnsi="Montserrat"/>
          <w:color w:val="3A3838"/>
          <w:sz w:val="20"/>
        </w:rPr>
        <w:t xml:space="preserve"> en los idiomas siguientes: alemán, francés, inglés, italiano, polaco y rumano. </w:t>
      </w:r>
    </w:p>
    <w:p w14:paraId="17FF6E9C" w14:textId="77777777" w:rsidR="00E6727E" w:rsidRPr="00135F43" w:rsidRDefault="00E6727E" w:rsidP="00DF6217">
      <w:pPr>
        <w:pStyle w:val="CCDocBody"/>
        <w:rPr>
          <w:sz w:val="20"/>
          <w:szCs w:val="20"/>
        </w:rPr>
      </w:pPr>
      <w:r>
        <w:rPr>
          <w:rStyle w:val="CCNormal"/>
          <w:sz w:val="20"/>
        </w:rPr>
        <w:t xml:space="preserve">Acerca de los autores: el Copa y la </w:t>
      </w:r>
      <w:proofErr w:type="spellStart"/>
      <w:r>
        <w:rPr>
          <w:rStyle w:val="CCNormal"/>
          <w:sz w:val="20"/>
        </w:rPr>
        <w:t>Cogeca</w:t>
      </w:r>
      <w:proofErr w:type="spellEnd"/>
      <w:r>
        <w:rPr>
          <w:rStyle w:val="CCNormal"/>
          <w:sz w:val="20"/>
        </w:rPr>
        <w:t xml:space="preserve"> representamos la voz unida de los agricultores y de las cooperativas agrarias en la UE. Juntos, nos aseguramos de que la agricultura de la UE sea un sector sostenible, innovador y competitivo, garantizando al mismo tiempo la seguridad alimentaria de más de 500 millones de personas en Europa. &gt;&gt;&gt; Le invitamos a consultar nuestra página web: </w:t>
      </w:r>
      <w:hyperlink r:id="rId11" w:history="1">
        <w:r>
          <w:rPr>
            <w:rStyle w:val="Hyperlink"/>
            <w:rFonts w:ascii="Montserrat" w:hAnsi="Montserrat"/>
            <w:sz w:val="20"/>
          </w:rPr>
          <w:t>www.copa-cogeca.eu</w:t>
        </w:r>
      </w:hyperlink>
      <w:r>
        <w:t>.</w:t>
      </w:r>
    </w:p>
    <w:sdt>
      <w:sdtPr>
        <w:rPr>
          <w:rFonts w:ascii="Montserrat Light" w:eastAsiaTheme="minorHAnsi" w:hAnsi="Montserrat Light" w:cstheme="minorBidi"/>
          <w:color w:val="58595B"/>
          <w:sz w:val="22"/>
          <w:szCs w:val="22"/>
        </w:rPr>
        <w:id w:val="-926261863"/>
        <w:lock w:val="sdtContentLocked"/>
        <w:placeholder>
          <w:docPart w:val="33F6B33A6C8A465B8706C930569F2DF3"/>
        </w:placeholder>
      </w:sdtPr>
      <w:sdtContent>
        <w:p w14:paraId="3D430AAC"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D41CC2C" wp14:editId="404298EA">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52223D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33F6B33A6C8A465B8706C930569F2DF3"/>
        </w:placeholder>
        <w:temporary/>
      </w:sdtPr>
      <w:sdtContent>
        <w:p w14:paraId="4FFD4492"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Pr>
              <w:rStyle w:val="CCNormal"/>
              <w:sz w:val="20"/>
            </w:rPr>
            <w:t>Para más información, puede contactar con:</w:t>
          </w:r>
        </w:p>
      </w:sdtContent>
    </w:sdt>
    <w:tbl>
      <w:tblPr>
        <w:tblW w:w="0" w:type="auto"/>
        <w:tblLook w:val="04A0" w:firstRow="1" w:lastRow="0" w:firstColumn="1" w:lastColumn="0" w:noHBand="0" w:noVBand="1"/>
      </w:tblPr>
      <w:tblGrid>
        <w:gridCol w:w="4253"/>
        <w:gridCol w:w="4763"/>
      </w:tblGrid>
      <w:tr w:rsidR="00E6727E" w:rsidRPr="00444D88" w14:paraId="6305708E" w14:textId="77777777" w:rsidTr="00716D7C">
        <w:tc>
          <w:tcPr>
            <w:tcW w:w="4253" w:type="dxa"/>
          </w:tcPr>
          <w:p w14:paraId="423C77F2" w14:textId="55BF4712" w:rsidR="00E6727E" w:rsidRPr="00135F43" w:rsidRDefault="00444D88" w:rsidP="00B953B8">
            <w:pPr>
              <w:pStyle w:val="NoSpacing"/>
              <w:rPr>
                <w:rFonts w:ascii="Montserrat" w:hAnsi="Montserrat"/>
                <w:sz w:val="20"/>
                <w:szCs w:val="20"/>
              </w:rPr>
            </w:pPr>
            <w:r>
              <w:rPr>
                <w:rFonts w:ascii="Montserrat" w:hAnsi="Montserrat"/>
                <w:sz w:val="20"/>
              </w:rPr>
              <w:t>Dominique Dejonckheere</w:t>
            </w:r>
          </w:p>
          <w:p w14:paraId="24D24FC4" w14:textId="644344AD" w:rsidR="00E6727E" w:rsidRPr="00135F43" w:rsidRDefault="00444D88" w:rsidP="00B953B8">
            <w:pPr>
              <w:pStyle w:val="NoSpacing"/>
              <w:rPr>
                <w:rStyle w:val="CCNoSpacing"/>
                <w:rFonts w:ascii="Montserrat" w:hAnsi="Montserrat"/>
                <w:sz w:val="20"/>
                <w:szCs w:val="20"/>
              </w:rPr>
            </w:pPr>
            <w:r>
              <w:rPr>
                <w:rStyle w:val="CCNoSpacing"/>
                <w:rFonts w:ascii="Montserrat" w:hAnsi="Montserrat"/>
                <w:sz w:val="20"/>
              </w:rPr>
              <w:t>Asesora principal de políticas</w:t>
            </w:r>
          </w:p>
          <w:p w14:paraId="334AC54E" w14:textId="59BF2BAC" w:rsidR="00E6727E" w:rsidRPr="00135F43" w:rsidRDefault="00444D88" w:rsidP="00B953B8">
            <w:pPr>
              <w:rPr>
                <w:rFonts w:ascii="Montserrat" w:hAnsi="Montserrat"/>
                <w:sz w:val="20"/>
                <w:szCs w:val="20"/>
              </w:rPr>
            </w:pPr>
            <w:r>
              <w:rPr>
                <w:rStyle w:val="Hyperlink"/>
                <w:rFonts w:ascii="Montserrat" w:hAnsi="Montserrat"/>
                <w:sz w:val="20"/>
              </w:rPr>
              <w:t>dominique.dejonckheere@copa-cogeca.eu</w:t>
            </w:r>
          </w:p>
        </w:tc>
        <w:tc>
          <w:tcPr>
            <w:tcW w:w="4763" w:type="dxa"/>
          </w:tcPr>
          <w:p w14:paraId="56801687" w14:textId="177B7E79" w:rsidR="00E6727E" w:rsidRPr="00135F43" w:rsidRDefault="00444D88" w:rsidP="00B953B8">
            <w:pPr>
              <w:pStyle w:val="NoSpacing"/>
              <w:rPr>
                <w:rFonts w:ascii="Montserrat" w:hAnsi="Montserrat"/>
                <w:sz w:val="20"/>
                <w:szCs w:val="20"/>
              </w:rPr>
            </w:pPr>
            <w:r>
              <w:rPr>
                <w:rFonts w:ascii="Montserrat" w:hAnsi="Montserrat"/>
                <w:sz w:val="20"/>
              </w:rPr>
              <w:t>Jean-Baptiste Boucher</w:t>
            </w:r>
          </w:p>
          <w:p w14:paraId="0AED270B" w14:textId="28663B7B" w:rsidR="00E6727E" w:rsidRPr="00135F43" w:rsidRDefault="00444D88" w:rsidP="00B953B8">
            <w:pPr>
              <w:pStyle w:val="NoSpacing"/>
              <w:rPr>
                <w:rFonts w:ascii="Montserrat" w:hAnsi="Montserrat"/>
                <w:sz w:val="20"/>
                <w:szCs w:val="20"/>
              </w:rPr>
            </w:pPr>
            <w:r>
              <w:rPr>
                <w:rFonts w:ascii="Montserrat" w:hAnsi="Montserrat"/>
                <w:sz w:val="20"/>
              </w:rPr>
              <w:t>Director de Comunicación</w:t>
            </w:r>
          </w:p>
          <w:p w14:paraId="46FF76FC" w14:textId="5E603A65" w:rsidR="00E6727E" w:rsidRPr="00135F43" w:rsidRDefault="00444D88" w:rsidP="00B953B8">
            <w:pPr>
              <w:pStyle w:val="NoSpacing"/>
              <w:rPr>
                <w:rFonts w:ascii="Montserrat" w:hAnsi="Montserrat"/>
                <w:sz w:val="20"/>
                <w:szCs w:val="20"/>
              </w:rPr>
            </w:pPr>
            <w:r>
              <w:rPr>
                <w:rFonts w:ascii="Montserrat" w:hAnsi="Montserrat"/>
                <w:sz w:val="20"/>
              </w:rPr>
              <w:t>+32 474 84 08 36</w:t>
            </w:r>
          </w:p>
          <w:p w14:paraId="51847EE8" w14:textId="287309F9" w:rsidR="00E6727E" w:rsidRPr="00444D88" w:rsidRDefault="00444D88" w:rsidP="00B953B8">
            <w:pPr>
              <w:rPr>
                <w:rFonts w:ascii="Montserrat" w:hAnsi="Montserrat"/>
                <w:sz w:val="20"/>
                <w:szCs w:val="20"/>
              </w:rPr>
            </w:pPr>
            <w:r>
              <w:rPr>
                <w:rStyle w:val="Hyperlink"/>
                <w:rFonts w:ascii="Montserrat" w:hAnsi="Montserrat"/>
                <w:sz w:val="20"/>
              </w:rPr>
              <w:t>jean-baptiste.boucher@copa-cogeca.eu</w:t>
            </w:r>
          </w:p>
        </w:tc>
      </w:tr>
    </w:tbl>
    <w:p w14:paraId="62BBF577" w14:textId="77777777" w:rsidR="00E6727E" w:rsidRPr="00444D88" w:rsidRDefault="00E6727E" w:rsidP="00135F43">
      <w:pPr>
        <w:rPr>
          <w:lang w:val="en-BE"/>
        </w:rPr>
      </w:pPr>
    </w:p>
    <w:p w14:paraId="5FC4B610" w14:textId="77777777" w:rsidR="00817677" w:rsidRPr="00444D88" w:rsidRDefault="00817677" w:rsidP="00135F43">
      <w:pPr>
        <w:rPr>
          <w:lang w:val="en-BE"/>
        </w:rPr>
      </w:pPr>
    </w:p>
    <w:p w14:paraId="188969DE" w14:textId="77777777" w:rsidR="00817677" w:rsidRDefault="00817677" w:rsidP="00817677">
      <w:pPr>
        <w:jc w:val="center"/>
      </w:pPr>
      <w:r>
        <w:t>Lista de distribución de los comunicados de prensa</w:t>
      </w:r>
    </w:p>
    <w:p w14:paraId="6AAF2C42" w14:textId="77777777" w:rsidR="00817677" w:rsidRPr="00817677" w:rsidRDefault="00817677" w:rsidP="00817677">
      <w:pPr>
        <w:jc w:val="center"/>
      </w:pPr>
      <w:r>
        <w:rPr>
          <w:noProof/>
        </w:rPr>
        <mc:AlternateContent>
          <mc:Choice Requires="wps">
            <w:drawing>
              <wp:anchor distT="0" distB="0" distL="114300" distR="114300" simplePos="0" relativeHeight="251662336" behindDoc="0" locked="0" layoutInCell="1" allowOverlap="1" wp14:anchorId="55F1162F" wp14:editId="1CECE65D">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5E115CB6" w14:textId="77777777" w:rsidR="00817677" w:rsidRPr="00817677" w:rsidRDefault="00817677" w:rsidP="00817677">
                            <w:pPr>
                              <w:jc w:val="center"/>
                              <w:rPr>
                                <w:b/>
                                <w:bCs/>
                                <w:color w:val="FFFFFF" w:themeColor="background1"/>
                                <w:sz w:val="20"/>
                                <w:szCs w:val="20"/>
                              </w:rPr>
                            </w:pPr>
                            <w:r>
                              <w:rPr>
                                <w:b/>
                                <w:color w:val="FFFFFF" w:themeColor="background1"/>
                                <w:sz w:val="20"/>
                              </w:rPr>
                              <w:t>Desabonarse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F1162F"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5E115CB6" w14:textId="77777777" w:rsidR="00817677" w:rsidRPr="00817677" w:rsidRDefault="00817677" w:rsidP="00817677">
                      <w:pPr>
                        <w:jc w:val="center"/>
                        <w:rPr>
                          <w:b/>
                          <w:bCs/>
                          <w:color w:val="FFFFFF" w:themeColor="background1"/>
                          <w:sz w:val="20"/>
                          <w:szCs w:val="20"/>
                        </w:rPr>
                      </w:pPr>
                      <w:r>
                        <w:rPr>
                          <w:b/>
                          <w:color w:val="FFFFFF" w:themeColor="background1"/>
                          <w:sz w:val="20"/>
                        </w:rPr>
                        <w:t>Desabonarse</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474E36BB" wp14:editId="1E967F93">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40B7C779" w14:textId="77777777" w:rsidR="00817677" w:rsidRPr="00817677" w:rsidRDefault="00817677" w:rsidP="00817677">
                            <w:pPr>
                              <w:jc w:val="center"/>
                              <w:rPr>
                                <w:b/>
                                <w:bCs/>
                                <w:color w:val="FFFFFF" w:themeColor="background1"/>
                                <w:sz w:val="20"/>
                                <w:szCs w:val="20"/>
                              </w:rPr>
                            </w:pPr>
                            <w:r>
                              <w:rPr>
                                <w:b/>
                                <w:color w:val="FFFFFF" w:themeColor="background1"/>
                                <w:sz w:val="20"/>
                              </w:rPr>
                              <w:t>Abonarse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4E36BB"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40B7C779" w14:textId="77777777" w:rsidR="00817677" w:rsidRPr="00817677" w:rsidRDefault="00817677" w:rsidP="00817677">
                      <w:pPr>
                        <w:jc w:val="center"/>
                        <w:rPr>
                          <w:b/>
                          <w:bCs/>
                          <w:color w:val="FFFFFF" w:themeColor="background1"/>
                          <w:sz w:val="20"/>
                          <w:szCs w:val="20"/>
                        </w:rPr>
                      </w:pPr>
                      <w:r>
                        <w:rPr>
                          <w:b/>
                          <w:color w:val="FFFFFF" w:themeColor="background1"/>
                          <w:sz w:val="20"/>
                        </w:rPr>
                        <w:t>Abonarse</w:t>
                      </w:r>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88E63" w14:textId="77777777" w:rsidR="00083B8D" w:rsidRPr="00716D7C" w:rsidRDefault="00083B8D" w:rsidP="00716D7C">
      <w:r>
        <w:separator/>
      </w:r>
    </w:p>
  </w:endnote>
  <w:endnote w:type="continuationSeparator" w:id="0">
    <w:p w14:paraId="465E18A4" w14:textId="77777777" w:rsidR="00083B8D" w:rsidRPr="00716D7C" w:rsidRDefault="00083B8D"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3CD7F9A-32C8-405A-A8C6-BDCCF9CE0316}"/>
    <w:embedBold r:id="rId2" w:fontKey="{2877D6F8-6891-4D50-BD0D-1F43D227AF6B}"/>
    <w:embedItalic r:id="rId3" w:fontKey="{7E548F0C-5419-4A53-9C83-69D7A942425E}"/>
    <w:embedBoldItalic r:id="rId4" w:fontKey="{56E29401-688C-4348-B32C-D042C0DF6E06}"/>
  </w:font>
  <w:font w:name="Montserrat Light">
    <w:charset w:val="00"/>
    <w:family w:val="auto"/>
    <w:pitch w:val="variable"/>
    <w:sig w:usb0="2000020F" w:usb1="00000003" w:usb2="00000000" w:usb3="00000000" w:csb0="00000197" w:csb1="00000000"/>
    <w:embedRegular r:id="rId5" w:fontKey="{C2D73E26-09C8-4A1E-BD23-28C98363DAC0}"/>
    <w:embedBold r:id="rId6" w:fontKey="{5854E569-AA4F-4E8E-AC78-E37D4B90FCED}"/>
  </w:font>
  <w:font w:name="Calibri Light">
    <w:panose1 w:val="020F0302020204030204"/>
    <w:charset w:val="00"/>
    <w:family w:val="swiss"/>
    <w:pitch w:val="variable"/>
    <w:sig w:usb0="E4002EFF" w:usb1="C000247B" w:usb2="00000009" w:usb3="00000000" w:csb0="000001FF" w:csb1="00000000"/>
    <w:embedRegular r:id="rId7" w:fontKey="{B782B294-5D05-461F-9990-13370B7BF72D}"/>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embedRegular r:id="rId8" w:fontKey="{BC4808AE-9F25-40B1-A8FE-07BF97EFD112}"/>
    <w:embedBold r:id="rId9" w:fontKey="{3EFA238D-C005-4100-B843-778BCA7D0417}"/>
    <w:embedItalic r:id="rId10" w:fontKey="{E80F4D0A-DB11-49FA-AB3E-11BA27F61053}"/>
    <w:embedBoldItalic r:id="rId11" w:fontKey="{BF269066-F41E-4793-A72E-7545761353A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4C35" w14:textId="77777777" w:rsidR="00107120" w:rsidRPr="00444D88" w:rsidRDefault="00107120" w:rsidP="00107120">
    <w:pPr>
      <w:spacing w:after="0"/>
      <w:ind w:left="1134"/>
      <w:rPr>
        <w:rFonts w:ascii="Montserrat" w:hAnsi="Montserrat"/>
        <w:sz w:val="16"/>
        <w:szCs w:val="16"/>
      </w:rPr>
    </w:pPr>
    <w:r>
      <w:rPr>
        <w:rFonts w:ascii="Montserrat" w:hAnsi="Montserrat"/>
        <w:noProof/>
        <w:color w:val="000000" w:themeColor="text1"/>
        <w:sz w:val="16"/>
      </w:rPr>
      <w:drawing>
        <wp:anchor distT="0" distB="0" distL="114300" distR="114300" simplePos="0" relativeHeight="251661312" behindDoc="1" locked="0" layoutInCell="1" allowOverlap="1" wp14:anchorId="73174F05" wp14:editId="603F65C1">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sz w:val="16"/>
      </w:rPr>
      <w:t xml:space="preserve">Copa - </w:t>
    </w:r>
    <w:proofErr w:type="spellStart"/>
    <w:r>
      <w:rPr>
        <w:rFonts w:ascii="Montserrat" w:hAnsi="Montserrat"/>
        <w:sz w:val="16"/>
      </w:rPr>
      <w:t>Cogeca</w:t>
    </w:r>
    <w:proofErr w:type="spellEnd"/>
    <w:r>
      <w:rPr>
        <w:rFonts w:ascii="Montserrat" w:hAnsi="Montserrat"/>
        <w:sz w:val="16"/>
      </w:rPr>
      <w:t xml:space="preserve"> | Agricultores Europeos Cooperativas Agrarias Europeas </w:t>
    </w:r>
  </w:p>
  <w:p w14:paraId="0E4F92C8" w14:textId="5590608F" w:rsidR="00107120" w:rsidRPr="005067BB" w:rsidRDefault="00107120" w:rsidP="00107120">
    <w:pPr>
      <w:spacing w:after="0"/>
      <w:ind w:left="1134"/>
      <w:rPr>
        <w:rFonts w:ascii="Montserrat" w:hAnsi="Montserrat"/>
        <w:sz w:val="16"/>
        <w:szCs w:val="16"/>
      </w:rPr>
    </w:pPr>
    <w:r>
      <w:rPr>
        <w:rFonts w:ascii="Montserrat" w:hAnsi="Montserrat"/>
        <w:sz w:val="16"/>
      </w:rPr>
      <w:t xml:space="preserve">Rue de </w:t>
    </w:r>
    <w:proofErr w:type="spellStart"/>
    <w:r>
      <w:rPr>
        <w:rFonts w:ascii="Montserrat" w:hAnsi="Montserrat"/>
        <w:sz w:val="16"/>
      </w:rPr>
      <w:t>Trèves</w:t>
    </w:r>
    <w:proofErr w:type="spellEnd"/>
    <w:r>
      <w:rPr>
        <w:rFonts w:ascii="Montserrat" w:hAnsi="Montserrat"/>
        <w:sz w:val="16"/>
      </w:rPr>
      <w:t xml:space="preserve"> 61 | B - 1040 Bruselas | www.copa-cogeca.eu</w:t>
    </w:r>
    <w:r w:rsidR="00537B2C">
      <w:rPr>
        <w:rFonts w:ascii="Montserrat" w:hAnsi="Montserrat"/>
        <w:sz w:val="16"/>
      </w:rPr>
      <w:t xml:space="preserve"> </w:t>
    </w:r>
  </w:p>
  <w:p w14:paraId="1DBEAA25" w14:textId="77777777" w:rsidR="00107120" w:rsidRPr="008403E3" w:rsidRDefault="00107120" w:rsidP="00107120">
    <w:pPr>
      <w:spacing w:after="0"/>
      <w:ind w:left="1134"/>
      <w:rPr>
        <w:rFonts w:ascii="Montserrat" w:hAnsi="Montserrat"/>
        <w:sz w:val="16"/>
        <w:szCs w:val="16"/>
      </w:rPr>
    </w:pPr>
    <w:proofErr w:type="spellStart"/>
    <w:r>
      <w:rPr>
        <w:rFonts w:ascii="Montserrat" w:hAnsi="Montserrat"/>
        <w:sz w:val="16"/>
      </w:rPr>
      <w:t>Nº</w:t>
    </w:r>
    <w:proofErr w:type="spellEnd"/>
    <w:r>
      <w:rPr>
        <w:rFonts w:ascii="Montserrat" w:hAnsi="Montserrat"/>
        <w:sz w:val="16"/>
      </w:rPr>
      <w:t xml:space="preserve"> de registro de transparencia de la UE | Copa 44856881231-49 | </w:t>
    </w:r>
    <w:proofErr w:type="spellStart"/>
    <w:r>
      <w:rPr>
        <w:rFonts w:ascii="Montserrat" w:hAnsi="Montserrat"/>
        <w:sz w:val="16"/>
      </w:rPr>
      <w:t>Cogeca</w:t>
    </w:r>
    <w:proofErr w:type="spellEnd"/>
    <w:r>
      <w:rPr>
        <w:rFonts w:ascii="Montserrat" w:hAnsi="Montserrat"/>
        <w:sz w:val="16"/>
      </w:rPr>
      <w:t xml:space="preserve"> 09586631237-74</w:t>
    </w:r>
  </w:p>
  <w:p w14:paraId="36921CB7"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58DA" w14:textId="77777777" w:rsidR="00107120" w:rsidRPr="00444D88" w:rsidRDefault="00107120" w:rsidP="00107120">
    <w:pPr>
      <w:spacing w:after="0"/>
      <w:ind w:left="1134"/>
      <w:rPr>
        <w:rFonts w:ascii="Montserrat" w:hAnsi="Montserrat"/>
        <w:sz w:val="16"/>
        <w:szCs w:val="16"/>
      </w:rPr>
    </w:pPr>
    <w:r>
      <w:rPr>
        <w:rFonts w:ascii="Montserrat" w:hAnsi="Montserrat"/>
        <w:noProof/>
        <w:color w:val="000000" w:themeColor="text1"/>
        <w:sz w:val="16"/>
      </w:rPr>
      <w:drawing>
        <wp:anchor distT="0" distB="0" distL="114300" distR="114300" simplePos="0" relativeHeight="251659264" behindDoc="1" locked="0" layoutInCell="1" allowOverlap="1" wp14:anchorId="672EC2BD" wp14:editId="07F1B09E">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t xml:space="preserve">Copa - </w:t>
    </w:r>
    <w:proofErr w:type="spellStart"/>
    <w:r>
      <w:t>Cogeca</w:t>
    </w:r>
    <w:proofErr w:type="spellEnd"/>
    <w:r>
      <w:t xml:space="preserve"> | Agricultores Europeos Cooperativas Agrarias Europeas</w:t>
    </w:r>
    <w:r>
      <w:rPr>
        <w:rFonts w:ascii="Montserrat" w:hAnsi="Montserrat"/>
        <w:sz w:val="16"/>
      </w:rPr>
      <w:t xml:space="preserve"> </w:t>
    </w:r>
  </w:p>
  <w:p w14:paraId="3DFD8880" w14:textId="74BD0706" w:rsidR="00107120" w:rsidRPr="005067BB" w:rsidRDefault="00107120" w:rsidP="00107120">
    <w:pPr>
      <w:spacing w:after="0"/>
      <w:ind w:left="1134"/>
      <w:rPr>
        <w:rFonts w:ascii="Montserrat" w:hAnsi="Montserrat"/>
        <w:sz w:val="16"/>
        <w:szCs w:val="16"/>
      </w:rPr>
    </w:pPr>
    <w:r>
      <w:rPr>
        <w:rFonts w:ascii="Montserrat" w:hAnsi="Montserrat"/>
        <w:sz w:val="16"/>
      </w:rPr>
      <w:t xml:space="preserve">Rue de </w:t>
    </w:r>
    <w:proofErr w:type="spellStart"/>
    <w:r>
      <w:rPr>
        <w:rFonts w:ascii="Montserrat" w:hAnsi="Montserrat"/>
        <w:sz w:val="16"/>
      </w:rPr>
      <w:t>Trèves</w:t>
    </w:r>
    <w:proofErr w:type="spellEnd"/>
    <w:r>
      <w:rPr>
        <w:rFonts w:ascii="Montserrat" w:hAnsi="Montserrat"/>
        <w:sz w:val="16"/>
      </w:rPr>
      <w:t xml:space="preserve"> 61 | B - 1040 Bruselas | www.copa-cogeca.eu</w:t>
    </w:r>
    <w:r w:rsidR="00537B2C">
      <w:rPr>
        <w:rFonts w:ascii="Montserrat" w:hAnsi="Montserrat"/>
        <w:sz w:val="16"/>
      </w:rPr>
      <w:t xml:space="preserve"> </w:t>
    </w:r>
  </w:p>
  <w:p w14:paraId="426A6028" w14:textId="77777777" w:rsidR="00107120" w:rsidRPr="008403E3" w:rsidRDefault="00107120" w:rsidP="00107120">
    <w:pPr>
      <w:spacing w:after="0"/>
      <w:ind w:left="1134"/>
      <w:rPr>
        <w:rFonts w:ascii="Montserrat" w:hAnsi="Montserrat"/>
        <w:sz w:val="16"/>
        <w:szCs w:val="16"/>
      </w:rPr>
    </w:pPr>
    <w:proofErr w:type="spellStart"/>
    <w:r>
      <w:rPr>
        <w:rFonts w:ascii="Montserrat" w:hAnsi="Montserrat"/>
        <w:sz w:val="16"/>
      </w:rPr>
      <w:t>Nº</w:t>
    </w:r>
    <w:proofErr w:type="spellEnd"/>
    <w:r>
      <w:rPr>
        <w:rFonts w:ascii="Montserrat" w:hAnsi="Montserrat"/>
        <w:sz w:val="16"/>
      </w:rPr>
      <w:t xml:space="preserve"> de registro de transparencia de la UE | Copa 44856881231-49 | </w:t>
    </w:r>
    <w:proofErr w:type="spellStart"/>
    <w:r>
      <w:rPr>
        <w:rFonts w:ascii="Montserrat" w:hAnsi="Montserrat"/>
        <w:sz w:val="16"/>
      </w:rPr>
      <w:t>Cogeca</w:t>
    </w:r>
    <w:proofErr w:type="spellEnd"/>
    <w:r>
      <w:rPr>
        <w:rFonts w:ascii="Montserrat" w:hAnsi="Montserrat"/>
        <w:sz w:val="16"/>
      </w:rPr>
      <w:t xml:space="preserve"> 09586631237-74</w:t>
    </w:r>
  </w:p>
  <w:p w14:paraId="05F7A737"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00EDB" w14:textId="77777777" w:rsidR="00083B8D" w:rsidRPr="00716D7C" w:rsidRDefault="00083B8D" w:rsidP="00716D7C">
      <w:r>
        <w:separator/>
      </w:r>
    </w:p>
  </w:footnote>
  <w:footnote w:type="continuationSeparator" w:id="0">
    <w:p w14:paraId="3AB9A488" w14:textId="77777777" w:rsidR="00083B8D" w:rsidRPr="00716D7C" w:rsidRDefault="00083B8D"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07F9"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Content>
      <w:p w14:paraId="0F8539D3" w14:textId="77777777" w:rsidR="00135F43" w:rsidRDefault="00135F43" w:rsidP="00135F43">
        <w:pPr>
          <w:jc w:val="left"/>
          <w:rPr>
            <w:noProof/>
          </w:rPr>
        </w:pPr>
        <w:r>
          <w:rPr>
            <w:noProof/>
          </w:rPr>
          <w:drawing>
            <wp:inline distT="0" distB="0" distL="0" distR="0" wp14:anchorId="7B2F8F87" wp14:editId="6AA215E4">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0508136C"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C30E96"/>
    <w:multiLevelType w:val="multilevel"/>
    <w:tmpl w:val="6134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 w:numId="11" w16cid:durableId="4378745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88"/>
    <w:rsid w:val="00006AB9"/>
    <w:rsid w:val="000356F5"/>
    <w:rsid w:val="00071DB6"/>
    <w:rsid w:val="00083B8D"/>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0786F"/>
    <w:rsid w:val="00444D88"/>
    <w:rsid w:val="00445C22"/>
    <w:rsid w:val="00467BDE"/>
    <w:rsid w:val="00486A5D"/>
    <w:rsid w:val="004C39C3"/>
    <w:rsid w:val="004D1FA4"/>
    <w:rsid w:val="004F6EE0"/>
    <w:rsid w:val="005067BB"/>
    <w:rsid w:val="005202ED"/>
    <w:rsid w:val="0052252F"/>
    <w:rsid w:val="0053572E"/>
    <w:rsid w:val="00537B2C"/>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E16E9"/>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A622B"/>
    <w:rsid w:val="00BC42AC"/>
    <w:rsid w:val="00BE0D6B"/>
    <w:rsid w:val="00BE22AC"/>
    <w:rsid w:val="00C20330"/>
    <w:rsid w:val="00C26FE0"/>
    <w:rsid w:val="00C435EA"/>
    <w:rsid w:val="00C51DE9"/>
    <w:rsid w:val="00C5271A"/>
    <w:rsid w:val="00C544BA"/>
    <w:rsid w:val="00C77870"/>
    <w:rsid w:val="00CA4479"/>
    <w:rsid w:val="00CA4F69"/>
    <w:rsid w:val="00CC4394"/>
    <w:rsid w:val="00CE19D7"/>
    <w:rsid w:val="00CF4B85"/>
    <w:rsid w:val="00D10189"/>
    <w:rsid w:val="00D1533B"/>
    <w:rsid w:val="00D15F84"/>
    <w:rsid w:val="00D239FF"/>
    <w:rsid w:val="00D66617"/>
    <w:rsid w:val="00D72C78"/>
    <w:rsid w:val="00D9547E"/>
    <w:rsid w:val="00DE77B5"/>
    <w:rsid w:val="00DF6217"/>
    <w:rsid w:val="00E05511"/>
    <w:rsid w:val="00E2211C"/>
    <w:rsid w:val="00E510B1"/>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88686"/>
  <w15:chartTrackingRefBased/>
  <w15:docId w15:val="{1A116FDF-3A90-40C0-9E32-4F668500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F6B33A6C8A465B8706C930569F2DF3"/>
        <w:category>
          <w:name w:val="General"/>
          <w:gallery w:val="placeholder"/>
        </w:category>
        <w:types>
          <w:type w:val="bbPlcHdr"/>
        </w:types>
        <w:behaviors>
          <w:behavior w:val="content"/>
        </w:behaviors>
        <w:guid w:val="{CC62017E-1AB7-4363-B825-5C664F09A6B9}"/>
      </w:docPartPr>
      <w:docPartBody>
        <w:p w:rsidR="00EA6841" w:rsidRDefault="00EA6841">
          <w:pPr>
            <w:pStyle w:val="33F6B33A6C8A465B8706C930569F2DF3"/>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41"/>
    <w:rsid w:val="0053572E"/>
    <w:rsid w:val="0077659C"/>
    <w:rsid w:val="007E16E9"/>
    <w:rsid w:val="00EA684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3F6B33A6C8A465B8706C930569F2DF3">
    <w:name w:val="33F6B33A6C8A465B8706C930569F2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2</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Rosario Gonzalez</cp:lastModifiedBy>
  <cp:revision>5</cp:revision>
  <dcterms:created xsi:type="dcterms:W3CDTF">2025-01-29T15:50:00Z</dcterms:created>
  <dcterms:modified xsi:type="dcterms:W3CDTF">2025-01-30T14:14:00Z</dcterms:modified>
</cp:coreProperties>
</file>

<file path=docProps/custom.xml><?xml version="1.0" encoding="utf-8"?>
<op:Properties xmlns:vt="http://schemas.openxmlformats.org/officeDocument/2006/docPropsVTypes" xmlns:op="http://schemas.openxmlformats.org/officeDocument/2006/custom-properties"/>
</file>