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DB0D2" w14:textId="77E0DB94" w:rsidR="000356F5" w:rsidRPr="000356F5" w:rsidRDefault="00767438" w:rsidP="000356F5">
      <w:pPr>
        <w:spacing w:after="0"/>
        <w:rPr>
          <w:rFonts w:ascii="Montserrat" w:hAnsi="Montserrat"/>
        </w:rPr>
      </w:pPr>
      <w:r w:rsidRPr="00734E47">
        <w:rPr>
          <w:rStyle w:val="CCNormal"/>
        </w:rPr>
        <w:t>Ref.</w:t>
      </w:r>
      <w:r w:rsidRPr="00716D7C">
        <w:t xml:space="preserve"> </w:t>
      </w:r>
      <w:r w:rsidR="00380165">
        <w:rPr>
          <w:rFonts w:ascii="Montserrat" w:hAnsi="Montserrat"/>
        </w:rPr>
        <w:fldChar w:fldCharType="begin"/>
      </w:r>
      <w:r w:rsidR="00F145A0" w:rsidRPr="00F145A0">
        <w:rPr>
          <w:rFonts w:ascii="Montserrat" w:hAnsi="Montserrat"/>
        </w:rPr>
        <w:instrText>DOCPROPERTY PWReference</w:instrText>
      </w:r>
      <w:r w:rsidR="00380165">
        <w:rPr>
          <w:rFonts w:ascii="Montserrat" w:hAnsi="Montserrat"/>
        </w:rPr>
        <w:fldChar w:fldCharType="separate"/>
      </w:r>
      <w:proofErr w:type="gramStart"/>
      <w:r w:rsidR="0061772C">
        <w:rPr>
          <w:rFonts w:ascii="Montserrat" w:hAnsi="Montserrat"/>
        </w:rPr>
        <w:t>COMM(</w:t>
      </w:r>
      <w:proofErr w:type="gramEnd"/>
      <w:r w:rsidR="0061772C">
        <w:rPr>
          <w:rFonts w:ascii="Montserrat" w:hAnsi="Montserrat"/>
        </w:rPr>
        <w:t>26)01908</w:t>
      </w:r>
      <w:r w:rsidR="00380165">
        <w:rPr>
          <w:rFonts w:ascii="Montserrat" w:hAnsi="Montserrat"/>
        </w:rPr>
        <w:fldChar w:fldCharType="end"/>
      </w:r>
      <w:r w:rsidR="00135F43">
        <w:rPr>
          <w:rFonts w:ascii="Montserrat" w:hAnsi="Montserrat"/>
        </w:rPr>
        <w:tab/>
      </w:r>
      <w:r w:rsidR="00135F43">
        <w:rPr>
          <w:rFonts w:ascii="Montserrat" w:hAnsi="Montserrat"/>
        </w:rPr>
        <w:tab/>
      </w:r>
      <w:r w:rsidR="00135F43">
        <w:rPr>
          <w:rFonts w:ascii="Montserrat" w:hAnsi="Montserrat"/>
        </w:rPr>
        <w:tab/>
      </w:r>
    </w:p>
    <w:p w14:paraId="3655498C" w14:textId="4894348E" w:rsidR="00767438" w:rsidRPr="00734E47" w:rsidRDefault="004F6CD1" w:rsidP="000356F5">
      <w:pPr>
        <w:spacing w:after="0"/>
      </w:pPr>
      <w:r>
        <w:rPr>
          <w:rStyle w:val="CCNormal"/>
        </w:rPr>
        <w:t>01/09/2026</w:t>
      </w:r>
    </w:p>
    <w:p w14:paraId="00F350DC" w14:textId="77777777" w:rsidR="000356F5" w:rsidRDefault="000356F5" w:rsidP="00B22284">
      <w:pPr>
        <w:rPr>
          <w:rStyle w:val="CCType"/>
        </w:rPr>
      </w:pPr>
    </w:p>
    <w:p w14:paraId="1171C8F6" w14:textId="34F7D051" w:rsidR="00182716" w:rsidRPr="00B37D8B" w:rsidRDefault="004F6CD1" w:rsidP="009A78D2">
      <w:pPr>
        <w:jc w:val="left"/>
        <w:rPr>
          <w:rStyle w:val="CCType"/>
        </w:rPr>
      </w:pPr>
      <w:r>
        <w:rPr>
          <w:rStyle w:val="CCType"/>
        </w:rPr>
        <w:t>Opinion Piece</w:t>
      </w:r>
    </w:p>
    <w:p w14:paraId="3DBBAA6B" w14:textId="77777777" w:rsidR="004F6CD1" w:rsidRPr="004F6CD1" w:rsidRDefault="004F6CD1" w:rsidP="004F6CD1">
      <w:pPr>
        <w:jc w:val="left"/>
        <w:rPr>
          <w:rFonts w:ascii="Montserrat" w:hAnsi="Montserrat"/>
          <w:b/>
          <w:color w:val="767171" w:themeColor="background2" w:themeShade="80"/>
          <w:sz w:val="36"/>
          <w:lang w:val="en-BE"/>
        </w:rPr>
      </w:pPr>
      <w:r w:rsidRPr="004F6CD1">
        <w:rPr>
          <w:rFonts w:ascii="Montserrat" w:hAnsi="Montserrat"/>
          <w:b/>
          <w:bCs/>
          <w:color w:val="767171" w:themeColor="background2" w:themeShade="80"/>
          <w:sz w:val="36"/>
          <w:lang w:val="en-BE"/>
        </w:rPr>
        <w:t>Under mounting pressure, Europe is approaching a defining moment: will it make the right strategic choices for its agriculture?</w:t>
      </w:r>
    </w:p>
    <w:p w14:paraId="78EF9C3B" w14:textId="40583DB4" w:rsidR="004F6CD1" w:rsidRPr="004F6CD1" w:rsidRDefault="004F6CD1" w:rsidP="004F6CD1">
      <w:pPr>
        <w:rPr>
          <w:rFonts w:ascii="Montserrat" w:hAnsi="Montserrat"/>
          <w:color w:val="3B3838" w:themeColor="background2" w:themeShade="40"/>
          <w:sz w:val="20"/>
          <w:szCs w:val="20"/>
          <w:lang w:val="en-BE"/>
        </w:rPr>
      </w:pPr>
      <w:r w:rsidRPr="004F6CD1">
        <w:rPr>
          <w:rFonts w:ascii="Montserrat" w:hAnsi="Montserrat"/>
          <w:color w:val="3B3838" w:themeColor="background2" w:themeShade="40"/>
          <w:sz w:val="20"/>
          <w:szCs w:val="20"/>
          <w:lang w:val="en-BE"/>
        </w:rPr>
        <w:t>As political work resumes in Brussels, we believe it would be an understatement to say that morale across Europe’s farming community is anything but high. Another summer of extreme weather, drought and wildfires has added pressure to already difficult market conditions in many Member States. Fertiliser and energy costs remain a concern, with farm finances already running dry, while wars, trade tensions, intensifying global competition and climate shocks are darkening both the immediate and longer-term outlook.</w:t>
      </w:r>
    </w:p>
    <w:p w14:paraId="1B497E65" w14:textId="77777777" w:rsidR="004F6CD1" w:rsidRPr="004F6CD1" w:rsidRDefault="004F6CD1" w:rsidP="004F6CD1">
      <w:pPr>
        <w:rPr>
          <w:rFonts w:ascii="Montserrat" w:hAnsi="Montserrat"/>
          <w:color w:val="3B3838" w:themeColor="background2" w:themeShade="40"/>
          <w:sz w:val="20"/>
          <w:szCs w:val="20"/>
          <w:lang w:val="en-BE"/>
        </w:rPr>
      </w:pPr>
      <w:r w:rsidRPr="004F6CD1">
        <w:rPr>
          <w:rFonts w:ascii="Montserrat" w:hAnsi="Montserrat"/>
          <w:color w:val="3B3838" w:themeColor="background2" w:themeShade="40"/>
          <w:sz w:val="20"/>
          <w:szCs w:val="20"/>
          <w:lang w:val="en-BE"/>
        </w:rPr>
        <w:t>It is against this backdrop that some of the most consequential agricultural policy decisions of the second von der Leyen Commission will be shaped in the months ahead. Yet, as European officials return to work, the political process for agriculture at EU level has rarely been so unclear.</w:t>
      </w:r>
    </w:p>
    <w:p w14:paraId="6D829F03" w14:textId="77777777" w:rsidR="004F6CD1" w:rsidRPr="004F6CD1" w:rsidRDefault="004F6CD1" w:rsidP="004F6CD1">
      <w:pPr>
        <w:rPr>
          <w:rFonts w:ascii="Montserrat" w:hAnsi="Montserrat"/>
          <w:color w:val="3B3838" w:themeColor="background2" w:themeShade="40"/>
          <w:sz w:val="20"/>
          <w:szCs w:val="20"/>
          <w:lang w:val="en-BE"/>
        </w:rPr>
      </w:pPr>
      <w:r w:rsidRPr="004F6CD1">
        <w:rPr>
          <w:rFonts w:ascii="Montserrat" w:hAnsi="Montserrat"/>
          <w:color w:val="3B3838" w:themeColor="background2" w:themeShade="40"/>
          <w:sz w:val="20"/>
          <w:szCs w:val="20"/>
          <w:lang w:val="en-BE"/>
        </w:rPr>
        <w:t>At a time when food is increasingly used as a strategic weapon and global powers are strengthening their agricultural sectors in the name of autonomy, resilience and food security, Europe is clearly moving in the opposite direction; not in its rhetoric, of course, but in its day-to-day actions. This matter of fact becomes even harder to understand once we look beyond the EU’s borders.</w:t>
      </w:r>
    </w:p>
    <w:p w14:paraId="471B2A61" w14:textId="77777777" w:rsidR="004F6CD1" w:rsidRPr="004F6CD1" w:rsidRDefault="004F6CD1" w:rsidP="004F6CD1">
      <w:pPr>
        <w:rPr>
          <w:rFonts w:ascii="Montserrat" w:hAnsi="Montserrat"/>
          <w:color w:val="3B3838" w:themeColor="background2" w:themeShade="40"/>
          <w:sz w:val="20"/>
          <w:szCs w:val="20"/>
          <w:lang w:val="en-BE"/>
        </w:rPr>
      </w:pPr>
      <w:r w:rsidRPr="004F6CD1">
        <w:rPr>
          <w:rFonts w:ascii="Montserrat" w:hAnsi="Montserrat"/>
          <w:color w:val="3B3838" w:themeColor="background2" w:themeShade="40"/>
          <w:sz w:val="20"/>
          <w:szCs w:val="20"/>
          <w:lang w:val="en-BE"/>
        </w:rPr>
        <w:t>The United States has explicitly elevated agriculture to the level of national security, with its 2025 National Farm Security Action Plan built around a simple message: food security is national security. China has long pursued policies designed to keep its “rice bowl” firmly in its own hands. Russia, an increasingly significant security threat to the EU, has also made self-sufficiency in staple foods a strategic objective. Whatever one thinks of these approaches, the message is unmistakable: in the new geopolitical context we have entered, agriculture is increasingly seen as an asset, not a liability.</w:t>
      </w:r>
    </w:p>
    <w:p w14:paraId="7835A17A" w14:textId="77777777" w:rsidR="004F6CD1" w:rsidRPr="004F6CD1" w:rsidRDefault="004F6CD1" w:rsidP="004F6CD1">
      <w:pPr>
        <w:rPr>
          <w:rFonts w:ascii="Montserrat" w:hAnsi="Montserrat"/>
          <w:color w:val="3B3838" w:themeColor="background2" w:themeShade="40"/>
          <w:sz w:val="20"/>
          <w:szCs w:val="20"/>
          <w:lang w:val="en-BE"/>
        </w:rPr>
      </w:pPr>
      <w:r w:rsidRPr="004F6CD1">
        <w:rPr>
          <w:rFonts w:ascii="Montserrat" w:hAnsi="Montserrat"/>
          <w:color w:val="3B3838" w:themeColor="background2" w:themeShade="40"/>
          <w:sz w:val="20"/>
          <w:szCs w:val="20"/>
          <w:lang w:val="en-BE"/>
        </w:rPr>
        <w:t>This autumn, two processes will mainly shape almost every other agricultural policy decision: negotiations on the future Common Agricultural Policy (CAP) and on the EU’s next Multiannual Financial Framework (MFF). And the least we can say when carefully reviewing the Commission’s proposals, particularly the significant proposed cuts to the CAP budget and its dilution into National and Regional Partnership Plans (NRPPs), is that Europe risks weakening its historical agri-food asset.</w:t>
      </w:r>
    </w:p>
    <w:p w14:paraId="3C80C825" w14:textId="77777777" w:rsidR="004F6CD1" w:rsidRPr="004F6CD1" w:rsidRDefault="004F6CD1" w:rsidP="004F6CD1">
      <w:pPr>
        <w:rPr>
          <w:rFonts w:ascii="Montserrat" w:hAnsi="Montserrat"/>
          <w:color w:val="3B3838" w:themeColor="background2" w:themeShade="40"/>
          <w:sz w:val="20"/>
          <w:szCs w:val="20"/>
          <w:lang w:val="en-BE"/>
        </w:rPr>
      </w:pPr>
      <w:r w:rsidRPr="004F6CD1">
        <w:rPr>
          <w:rFonts w:ascii="Montserrat" w:hAnsi="Montserrat"/>
          <w:color w:val="3B3838" w:themeColor="background2" w:themeShade="40"/>
          <w:sz w:val="20"/>
          <w:szCs w:val="20"/>
          <w:lang w:val="en-BE"/>
        </w:rPr>
        <w:t>A CAP stripped of resources, deprived of its strategic two-pillar structure and destabilised in its commonality puts at risk the very objectives set out in the EU Treaties themselves: ensuring a fair standard of living for farmers, stabilising markets, securing supplies and ensuring that consumers have access to food at reasonable prices.</w:t>
      </w:r>
    </w:p>
    <w:p w14:paraId="338B12FA" w14:textId="238B3529" w:rsidR="004F6CD1" w:rsidRPr="004F6CD1" w:rsidRDefault="004F6CD1" w:rsidP="004F6CD1">
      <w:pPr>
        <w:rPr>
          <w:rFonts w:ascii="Montserrat" w:hAnsi="Montserrat"/>
          <w:color w:val="3B3838" w:themeColor="background2" w:themeShade="40"/>
          <w:sz w:val="20"/>
          <w:szCs w:val="20"/>
          <w:lang w:val="en-BE"/>
        </w:rPr>
      </w:pPr>
      <w:r w:rsidRPr="004F6CD1">
        <w:rPr>
          <w:rFonts w:ascii="Montserrat" w:hAnsi="Montserrat"/>
          <w:color w:val="3B3838" w:themeColor="background2" w:themeShade="40"/>
          <w:sz w:val="20"/>
          <w:szCs w:val="20"/>
          <w:lang w:val="en-BE"/>
        </w:rPr>
        <w:t>The CAP</w:t>
      </w:r>
      <w:r w:rsidR="009651F6">
        <w:rPr>
          <w:rFonts w:ascii="Montserrat" w:hAnsi="Montserrat"/>
          <w:color w:val="3B3838" w:themeColor="background2" w:themeShade="40"/>
          <w:sz w:val="20"/>
          <w:szCs w:val="20"/>
          <w:lang w:val="en-BE"/>
        </w:rPr>
        <w:t>,</w:t>
      </w:r>
      <w:r w:rsidRPr="004F6CD1">
        <w:rPr>
          <w:rFonts w:ascii="Montserrat" w:hAnsi="Montserrat"/>
          <w:color w:val="3B3838" w:themeColor="background2" w:themeShade="40"/>
          <w:sz w:val="20"/>
          <w:szCs w:val="20"/>
          <w:lang w:val="en-BE"/>
        </w:rPr>
        <w:t xml:space="preserve"> as envisioned by the von der Leyen Commission</w:t>
      </w:r>
      <w:r w:rsidR="009651F6">
        <w:rPr>
          <w:rFonts w:ascii="Montserrat" w:hAnsi="Montserrat"/>
          <w:color w:val="3B3838" w:themeColor="background2" w:themeShade="40"/>
          <w:sz w:val="20"/>
          <w:szCs w:val="20"/>
          <w:lang w:val="en-BE"/>
        </w:rPr>
        <w:t>,</w:t>
      </w:r>
      <w:r w:rsidRPr="004F6CD1">
        <w:rPr>
          <w:rFonts w:ascii="Montserrat" w:hAnsi="Montserrat"/>
          <w:color w:val="3B3838" w:themeColor="background2" w:themeShade="40"/>
          <w:sz w:val="20"/>
          <w:szCs w:val="20"/>
          <w:lang w:val="en-BE"/>
        </w:rPr>
        <w:t xml:space="preserve"> equally overlooks agriculture’s crucial role in guaranteeing territorial cohesion, sustaining rural economies and driving growth. Farmers are not only food producers; we contribute to Europe’s security and resilience in every sense of those words. The recent outbreaks of fire, where we have stood shoulder to shoulder with firefighters, devoting countless hours and confronting the flames with our own equipment, were another clear reminder of this fact. We do far more than feed Europe: we are the everyday guardians of our rural landscapes.</w:t>
      </w:r>
    </w:p>
    <w:p w14:paraId="7963CAFF" w14:textId="77777777" w:rsidR="004F6CD1" w:rsidRPr="004F6CD1" w:rsidRDefault="004F6CD1" w:rsidP="004F6CD1">
      <w:pPr>
        <w:rPr>
          <w:rFonts w:ascii="Montserrat" w:hAnsi="Montserrat"/>
          <w:color w:val="3B3838" w:themeColor="background2" w:themeShade="40"/>
          <w:sz w:val="20"/>
          <w:szCs w:val="20"/>
          <w:lang w:val="en-BE"/>
        </w:rPr>
      </w:pPr>
      <w:r w:rsidRPr="004F6CD1">
        <w:rPr>
          <w:rFonts w:ascii="Montserrat" w:hAnsi="Montserrat"/>
          <w:color w:val="3B3838" w:themeColor="background2" w:themeShade="40"/>
          <w:sz w:val="20"/>
          <w:szCs w:val="20"/>
          <w:lang w:val="en-BE"/>
        </w:rPr>
        <w:t xml:space="preserve">We recall the rightful words that Commissioner Hansen told the European Parliament in July 2025 after visiting Finland: </w:t>
      </w:r>
      <w:r w:rsidRPr="004F6CD1">
        <w:rPr>
          <w:rFonts w:ascii="Montserrat" w:hAnsi="Montserrat"/>
          <w:i/>
          <w:iCs/>
          <w:color w:val="3B3838" w:themeColor="background2" w:themeShade="40"/>
          <w:sz w:val="20"/>
          <w:szCs w:val="20"/>
          <w:lang w:val="en-BE"/>
        </w:rPr>
        <w:t>“farmers contribute to the EU’s line of defence.”</w:t>
      </w:r>
    </w:p>
    <w:p w14:paraId="046F9219" w14:textId="77777777" w:rsidR="004F6CD1" w:rsidRPr="004F6CD1" w:rsidRDefault="004F6CD1" w:rsidP="004F6CD1">
      <w:pPr>
        <w:rPr>
          <w:rFonts w:ascii="Montserrat" w:hAnsi="Montserrat"/>
          <w:color w:val="3B3838" w:themeColor="background2" w:themeShade="40"/>
          <w:sz w:val="20"/>
          <w:szCs w:val="20"/>
          <w:lang w:val="en-BE"/>
        </w:rPr>
      </w:pPr>
      <w:r w:rsidRPr="004F6CD1">
        <w:rPr>
          <w:rFonts w:ascii="Montserrat" w:hAnsi="Montserrat"/>
          <w:color w:val="3B3838" w:themeColor="background2" w:themeShade="40"/>
          <w:sz w:val="20"/>
          <w:szCs w:val="20"/>
          <w:lang w:val="en-BE"/>
        </w:rPr>
        <w:t>Agriculture is also a source of European power. We are the foundation of a European agri-food value chain generating more than €1 trillion in gross value added. Let us remind ourselves here that the Union can count on 9.1 million farms employing 8.7 million people, while more than 23,000 agricultural cooperatives employ over 607,000 people and form a key pillar of the agri-food value chain. It is therefore not a marginal sector to be managed around the edges of Europe’s competitiveness and growth agenda; it is part of that agenda.</w:t>
      </w:r>
    </w:p>
    <w:p w14:paraId="47448D7E" w14:textId="77777777" w:rsidR="004F6CD1" w:rsidRPr="004F6CD1" w:rsidRDefault="004F6CD1" w:rsidP="004F6CD1">
      <w:pPr>
        <w:rPr>
          <w:rFonts w:ascii="Montserrat" w:hAnsi="Montserrat"/>
          <w:color w:val="3B3838" w:themeColor="background2" w:themeShade="40"/>
          <w:sz w:val="20"/>
          <w:szCs w:val="20"/>
          <w:lang w:val="en-BE"/>
        </w:rPr>
      </w:pPr>
      <w:r w:rsidRPr="004F6CD1">
        <w:rPr>
          <w:rFonts w:ascii="Montserrat" w:hAnsi="Montserrat"/>
          <w:color w:val="3B3838" w:themeColor="background2" w:themeShade="40"/>
          <w:sz w:val="20"/>
          <w:szCs w:val="20"/>
          <w:lang w:val="en-BE"/>
        </w:rPr>
        <w:t>Beyond these strategic concerns, the Commission’s July 2025 proposals have created a new and potentially highly problematic governance structure for agriculture. With CAP instruments increasingly integrated into the NRPPs, decisions that have traditionally been shaped through the agricultural policy process are becoming part of broader MFF negotiations, where EU affairs and finance ministers will inevitably have greater influence. We honestly struggle to imagine a future where decisions on the Common Market Organisation (CMO), including sectoral interventions and highly technical agricultural instruments, are shaped primarily by negotiations led by finance and EU affairs ministers.</w:t>
      </w:r>
    </w:p>
    <w:p w14:paraId="2BF4EE65" w14:textId="77777777" w:rsidR="004F6CD1" w:rsidRPr="004F6CD1" w:rsidRDefault="004F6CD1" w:rsidP="004F6CD1">
      <w:pPr>
        <w:rPr>
          <w:rFonts w:ascii="Montserrat" w:hAnsi="Montserrat"/>
          <w:color w:val="3B3838" w:themeColor="background2" w:themeShade="40"/>
          <w:sz w:val="20"/>
          <w:szCs w:val="20"/>
          <w:lang w:val="en-BE"/>
        </w:rPr>
      </w:pPr>
      <w:r w:rsidRPr="004F6CD1">
        <w:rPr>
          <w:rFonts w:ascii="Montserrat" w:hAnsi="Montserrat"/>
          <w:color w:val="3B3838" w:themeColor="background2" w:themeShade="40"/>
          <w:sz w:val="20"/>
          <w:szCs w:val="20"/>
          <w:lang w:val="en-BE"/>
        </w:rPr>
        <w:t>And what could happen at the implementation stage, when national decisions on CAP instruments become subject to competition between ministries and regions for funding and influence? The risk is clear. Under intense political and time pressure, decisions could be driven less by the economic and agronomic realities of European agriculture than by political trade-offs, national calculations and compromises unrelated to the needs of the sector. Never has the CAP been so close to losing its most important letter: the “C” of Common.</w:t>
      </w:r>
    </w:p>
    <w:p w14:paraId="6E6A6770" w14:textId="77777777" w:rsidR="004F6CD1" w:rsidRPr="004F6CD1" w:rsidRDefault="004F6CD1" w:rsidP="004F6CD1">
      <w:pPr>
        <w:rPr>
          <w:rFonts w:ascii="Montserrat" w:hAnsi="Montserrat"/>
          <w:color w:val="3B3838" w:themeColor="background2" w:themeShade="40"/>
          <w:sz w:val="20"/>
          <w:szCs w:val="20"/>
          <w:lang w:val="en-BE"/>
        </w:rPr>
      </w:pPr>
      <w:r w:rsidRPr="004F6CD1">
        <w:rPr>
          <w:rFonts w:ascii="Montserrat" w:hAnsi="Montserrat"/>
          <w:color w:val="3B3838" w:themeColor="background2" w:themeShade="40"/>
          <w:sz w:val="20"/>
          <w:szCs w:val="20"/>
          <w:lang w:val="en-BE"/>
        </w:rPr>
        <w:t xml:space="preserve">We want to be very clear here: this would be a loss not only for European farmers and agri-cooperatives, but for the European project itself and its future. After the European Coal and Steel Community, will the CAP ultimately suffer the same fate? What a symbol would that send about one of the EU’s most advanced examples of common action? Clearly, before seeking to “communalise” new areas of European action, perhaps Europe should first protect and strengthen the policies </w:t>
      </w:r>
      <w:proofErr w:type="gramStart"/>
      <w:r w:rsidRPr="004F6CD1">
        <w:rPr>
          <w:rFonts w:ascii="Montserrat" w:hAnsi="Montserrat"/>
          <w:color w:val="3B3838" w:themeColor="background2" w:themeShade="40"/>
          <w:sz w:val="20"/>
          <w:szCs w:val="20"/>
          <w:lang w:val="en-BE"/>
        </w:rPr>
        <w:t>where</w:t>
      </w:r>
      <w:proofErr w:type="gramEnd"/>
      <w:r w:rsidRPr="004F6CD1">
        <w:rPr>
          <w:rFonts w:ascii="Montserrat" w:hAnsi="Montserrat"/>
          <w:color w:val="3B3838" w:themeColor="background2" w:themeShade="40"/>
          <w:sz w:val="20"/>
          <w:szCs w:val="20"/>
          <w:lang w:val="en-BE"/>
        </w:rPr>
        <w:t xml:space="preserve"> acting together has already demonstrated its value.</w:t>
      </w:r>
    </w:p>
    <w:p w14:paraId="030F3039" w14:textId="77777777" w:rsidR="004F6CD1" w:rsidRPr="004F6CD1" w:rsidRDefault="004F6CD1" w:rsidP="004F6CD1">
      <w:pPr>
        <w:rPr>
          <w:rFonts w:ascii="Montserrat" w:hAnsi="Montserrat"/>
          <w:color w:val="3B3838" w:themeColor="background2" w:themeShade="40"/>
          <w:sz w:val="20"/>
          <w:szCs w:val="20"/>
          <w:lang w:val="en-BE"/>
        </w:rPr>
      </w:pPr>
      <w:r w:rsidRPr="004F6CD1">
        <w:rPr>
          <w:rFonts w:ascii="Montserrat" w:hAnsi="Montserrat"/>
          <w:color w:val="3B3838" w:themeColor="background2" w:themeShade="40"/>
          <w:sz w:val="20"/>
          <w:szCs w:val="20"/>
          <w:lang w:val="en-BE"/>
        </w:rPr>
        <w:t>The stakes are particularly high as EU leaders are accelerating MFF negotiations ahead of a decisive electoral cycle in 2027, when around 60% of all EU citizens will be called to vote. In this electoral context, we cannot avoid asking ourselves: What a politically damaging message are EU leaders sending to farmers, rural communities and, ultimately, consumers?</w:t>
      </w:r>
    </w:p>
    <w:p w14:paraId="78B9A9FC" w14:textId="77777777" w:rsidR="004F6CD1" w:rsidRPr="004F6CD1" w:rsidRDefault="004F6CD1" w:rsidP="004F6CD1">
      <w:pPr>
        <w:rPr>
          <w:rFonts w:ascii="Montserrat" w:hAnsi="Montserrat"/>
          <w:color w:val="3B3838" w:themeColor="background2" w:themeShade="40"/>
          <w:sz w:val="20"/>
          <w:szCs w:val="20"/>
          <w:lang w:val="en-BE"/>
        </w:rPr>
      </w:pPr>
      <w:r w:rsidRPr="004F6CD1">
        <w:rPr>
          <w:rFonts w:ascii="Montserrat" w:hAnsi="Montserrat"/>
          <w:color w:val="3B3838" w:themeColor="background2" w:themeShade="40"/>
          <w:sz w:val="20"/>
          <w:szCs w:val="20"/>
          <w:lang w:val="en-BE"/>
        </w:rPr>
        <w:t>Citizens are already telling us what matters. The latest European Parliament Eurobarometer shows that inflation, rising prices and the cost of living are the top priority for 47% of Europeans, six points higher than in autumn 2025. This should be a wake-up call. Food prices are an essential part of the cost-of-living debate. Affordable food does not come from weakening Europe’s capacity to produce it. It comes from ensuring that a competitive, productive and resilient European agriculture remains at the heart of Europe’s priorities.</w:t>
      </w:r>
    </w:p>
    <w:p w14:paraId="05BB19FF" w14:textId="77777777" w:rsidR="004F6CD1" w:rsidRPr="004F6CD1" w:rsidRDefault="004F6CD1" w:rsidP="004F6CD1">
      <w:pPr>
        <w:rPr>
          <w:rFonts w:ascii="Montserrat" w:hAnsi="Montserrat"/>
          <w:color w:val="3B3838" w:themeColor="background2" w:themeShade="40"/>
          <w:sz w:val="20"/>
          <w:szCs w:val="20"/>
          <w:lang w:val="en-BE"/>
        </w:rPr>
      </w:pPr>
      <w:r w:rsidRPr="004F6CD1">
        <w:rPr>
          <w:rFonts w:ascii="Montserrat" w:hAnsi="Montserrat"/>
          <w:color w:val="3B3838" w:themeColor="background2" w:themeShade="40"/>
          <w:sz w:val="20"/>
          <w:szCs w:val="20"/>
          <w:lang w:val="en-BE"/>
        </w:rPr>
        <w:t>We do not need another collection of short-term fixes, ad hoc initiatives and communication strategies from the Commission. We need a convincing political vision, backed by stable policies and predictable schemes, giving farmers the confidence to invest and innovate. Otherwise, we doubt that we will have the arguments to continue convincing young and motivated people to join our ranks and bridge the generational gap we will face over the coming decade.</w:t>
      </w:r>
    </w:p>
    <w:p w14:paraId="75E0EFF9" w14:textId="77777777" w:rsidR="004F6CD1" w:rsidRPr="004F6CD1" w:rsidRDefault="004F6CD1" w:rsidP="004F6CD1">
      <w:pPr>
        <w:rPr>
          <w:rFonts w:ascii="Montserrat" w:hAnsi="Montserrat"/>
          <w:color w:val="3B3838" w:themeColor="background2" w:themeShade="40"/>
          <w:sz w:val="20"/>
          <w:szCs w:val="20"/>
          <w:lang w:val="en-BE"/>
        </w:rPr>
      </w:pPr>
      <w:r w:rsidRPr="004F6CD1">
        <w:rPr>
          <w:rFonts w:ascii="Montserrat" w:hAnsi="Montserrat"/>
          <w:color w:val="3B3838" w:themeColor="background2" w:themeShade="40"/>
          <w:sz w:val="20"/>
          <w:szCs w:val="20"/>
          <w:lang w:val="en-BE"/>
        </w:rPr>
        <w:t>The future MFF must recognise food production as a strategic objective intrinsically linked to Europe’s defence, security and competitiveness. The European Competitiveness Fund will also have a role to play in promoting the uptake of innovation (i.e. the use of data and Artificial Intelligence), supporting the large-scale deployment and infrastructure needed for agriculture’s continued transition and resilience. But these instruments must complement, not replace, a strong CAP and a functioning Common Market Organisation.</w:t>
      </w:r>
    </w:p>
    <w:p w14:paraId="622EFC4F" w14:textId="51632755" w:rsidR="00B631E7" w:rsidRPr="004F6CD1" w:rsidRDefault="004F6CD1" w:rsidP="004F6CD1">
      <w:pPr>
        <w:rPr>
          <w:rStyle w:val="CCNormal"/>
          <w:sz w:val="20"/>
          <w:szCs w:val="20"/>
          <w:lang w:val="en-US"/>
        </w:rPr>
      </w:pPr>
      <w:r w:rsidRPr="004F6CD1">
        <w:rPr>
          <w:rFonts w:ascii="Montserrat" w:hAnsi="Montserrat"/>
          <w:color w:val="3B3838" w:themeColor="background2" w:themeShade="40"/>
          <w:sz w:val="20"/>
          <w:szCs w:val="20"/>
          <w:lang w:val="en-BE"/>
        </w:rPr>
        <w:t>In October, as European leaders meet for a critical European Council, Europe’s farmers will gather in Stockholm for the Congress of European Farmers to take stock of the situation and set the direction for the action ahead. We will meet that moment of truth with determination, because we know what is at stake. There can be no secure Europe without a strong agricultural sector. And there can be no strong European agriculture without European policies that are fit for purpose.</w:t>
      </w:r>
    </w:p>
    <w:p w14:paraId="35D789D8" w14:textId="77777777" w:rsidR="004F6CD1" w:rsidRPr="004F6CD1" w:rsidRDefault="004F6CD1" w:rsidP="004F6CD1">
      <w:pPr>
        <w:jc w:val="right"/>
        <w:rPr>
          <w:rFonts w:ascii="Montserrat" w:hAnsi="Montserrat"/>
          <w:color w:val="7F7F7F" w:themeColor="text1" w:themeTint="80"/>
        </w:rPr>
      </w:pPr>
      <w:r w:rsidRPr="004F6CD1">
        <w:rPr>
          <w:rFonts w:ascii="Montserrat" w:hAnsi="Montserrat"/>
          <w:b/>
          <w:bCs/>
          <w:color w:val="7F7F7F" w:themeColor="text1" w:themeTint="80"/>
        </w:rPr>
        <w:t>Massimiliano Giansanti, Copa President</w:t>
      </w:r>
    </w:p>
    <w:p w14:paraId="372231A6" w14:textId="5EBDC319" w:rsidR="004F6CD1" w:rsidRPr="004F6CD1" w:rsidRDefault="004F6CD1" w:rsidP="004F6CD1">
      <w:pPr>
        <w:jc w:val="right"/>
        <w:rPr>
          <w:rFonts w:ascii="Montserrat" w:hAnsi="Montserrat"/>
          <w:color w:val="7F7F7F" w:themeColor="text1" w:themeTint="80"/>
        </w:rPr>
      </w:pPr>
      <w:r w:rsidRPr="004F6CD1">
        <w:rPr>
          <w:rFonts w:ascii="Montserrat" w:hAnsi="Montserrat"/>
          <w:b/>
          <w:bCs/>
          <w:color w:val="7F7F7F" w:themeColor="text1" w:themeTint="80"/>
        </w:rPr>
        <w:t>Lennart Nilsson, Cogeca President</w:t>
      </w:r>
    </w:p>
    <w:p w14:paraId="6C033F72" w14:textId="77777777" w:rsidR="00182716" w:rsidRPr="00135F43" w:rsidRDefault="006A79AB" w:rsidP="00244682">
      <w:sdt>
        <w:sdtPr>
          <w:rPr>
            <w:rFonts w:ascii="Montserrat" w:hAnsi="Montserrat"/>
            <w:b/>
            <w:bCs/>
            <w:color w:val="697331"/>
            <w:sz w:val="28"/>
            <w:szCs w:val="28"/>
          </w:rPr>
          <w:id w:val="636535682"/>
          <w:placeholder>
            <w:docPart w:val="36E22A7436754A1E806D6F53AEC1966B"/>
          </w:placeholder>
          <w:temporary/>
        </w:sdtPr>
        <w:sdtEndPr/>
        <w:sdtContent>
          <w:r w:rsidR="00767438" w:rsidRPr="00925C9C">
            <w:rPr>
              <w:rFonts w:ascii="Montserrat" w:hAnsi="Montserrat"/>
              <w:b/>
              <w:bCs/>
              <w:color w:val="697331"/>
              <w:sz w:val="28"/>
              <w:szCs w:val="28"/>
            </w:rPr>
            <w:t>-END-</w:t>
          </w:r>
        </w:sdtContent>
      </w:sdt>
      <w:r w:rsidR="00CC4394" w:rsidRPr="00135F43">
        <w:rPr>
          <w:rFonts w:ascii="Montserrat" w:hAnsi="Montserrat"/>
          <w:b/>
          <w:bCs/>
          <w:color w:val="697331"/>
          <w:sz w:val="28"/>
          <w:szCs w:val="28"/>
        </w:rPr>
        <w:t xml:space="preserve"> </w:t>
      </w:r>
    </w:p>
    <w:p w14:paraId="53A5D7B9" w14:textId="77777777" w:rsidR="000356F5" w:rsidRPr="000356F5" w:rsidRDefault="000356F5" w:rsidP="00DF6217">
      <w:pPr>
        <w:pStyle w:val="CCDocBody"/>
        <w:rPr>
          <w:rFonts w:ascii="Montserrat" w:hAnsi="Montserrat"/>
          <w:color w:val="3A3838"/>
          <w:sz w:val="20"/>
          <w:szCs w:val="20"/>
        </w:rPr>
      </w:pPr>
      <w:r w:rsidRPr="000356F5">
        <w:rPr>
          <w:rFonts w:ascii="Montserrat" w:hAnsi="Montserrat"/>
          <w:color w:val="3A3838"/>
          <w:sz w:val="20"/>
          <w:szCs w:val="20"/>
        </w:rPr>
        <w:t xml:space="preserve">Translations will be available in DE, ES, FR, IT, PL and RO on the Copa-Cogeca website soon. </w:t>
      </w:r>
    </w:p>
    <w:p w14:paraId="1C51AFD9" w14:textId="77777777" w:rsidR="00E6727E" w:rsidRPr="00135F43" w:rsidRDefault="00E6727E" w:rsidP="00DF6217">
      <w:pPr>
        <w:pStyle w:val="CCDocBody"/>
        <w:rPr>
          <w:sz w:val="20"/>
          <w:szCs w:val="20"/>
        </w:rPr>
      </w:pPr>
      <w:r w:rsidRPr="00135F43">
        <w:rPr>
          <w:rStyle w:val="CCNormal"/>
          <w:sz w:val="20"/>
          <w:szCs w:val="20"/>
        </w:rPr>
        <w:t>About</w:t>
      </w:r>
      <w:r w:rsidR="00244682" w:rsidRPr="00135F43">
        <w:rPr>
          <w:rStyle w:val="CCNormal"/>
          <w:sz w:val="20"/>
          <w:szCs w:val="20"/>
        </w:rPr>
        <w:t xml:space="preserve"> us</w:t>
      </w:r>
      <w:r w:rsidRPr="00135F43">
        <w:rPr>
          <w:rStyle w:val="CCNormal"/>
          <w:sz w:val="20"/>
          <w:szCs w:val="20"/>
        </w:rPr>
        <w:t xml:space="preserve"> - Copa and Cogeca are the united voice of farmers and agri-cooperatives in the EU. Together, we ensure that EU agriculture is sustainable, innovative and competitive, while guaranteeing food security for 500 million people throughout Europe. &gt;&gt;&gt; More information </w:t>
      </w:r>
      <w:hyperlink r:id="rId11" w:history="1">
        <w:r w:rsidRPr="00135F43">
          <w:rPr>
            <w:rStyle w:val="Hyperlink"/>
            <w:rFonts w:ascii="Montserrat" w:hAnsi="Montserrat"/>
            <w:sz w:val="20"/>
            <w:szCs w:val="20"/>
          </w:rPr>
          <w:t>www.copa-cogeca.eu</w:t>
        </w:r>
      </w:hyperlink>
    </w:p>
    <w:sdt>
      <w:sdtPr>
        <w:rPr>
          <w:rFonts w:ascii="Montserrat Light" w:eastAsiaTheme="minorHAnsi" w:hAnsi="Montserrat Light" w:cstheme="minorBidi"/>
          <w:color w:val="58595B"/>
          <w:sz w:val="22"/>
          <w:szCs w:val="22"/>
          <w:lang w:eastAsia="en-US"/>
        </w:rPr>
        <w:id w:val="-926261863"/>
        <w:lock w:val="sdtContentLocked"/>
        <w:placeholder>
          <w:docPart w:val="36E22A7436754A1E806D6F53AEC1966B"/>
        </w:placeholder>
      </w:sdtPr>
      <w:sdtEndPr/>
      <w:sdtContent>
        <w:p w14:paraId="04D3D0EE" w14:textId="77777777" w:rsidR="00B650F0" w:rsidRPr="00B953B8" w:rsidRDefault="00B650F0" w:rsidP="00445C22">
          <w:pPr>
            <w:pStyle w:val="NormalWeb"/>
            <w:shd w:val="clear" w:color="auto" w:fill="FFFFFF"/>
            <w:spacing w:before="0" w:beforeAutospacing="0"/>
            <w:rPr>
              <w:rFonts w:eastAsiaTheme="minorHAnsi"/>
            </w:rPr>
          </w:pPr>
          <w:r>
            <w:rPr>
              <w:rFonts w:ascii="Montserrat Light" w:eastAsiaTheme="minorHAnsi" w:hAnsi="Montserrat Light" w:cstheme="minorBidi"/>
              <w:noProof/>
              <w:color w:val="58595B"/>
              <w:sz w:val="22"/>
              <w:szCs w:val="22"/>
              <w:lang w:eastAsia="en-US"/>
            </w:rPr>
            <mc:AlternateContent>
              <mc:Choice Requires="wps">
                <w:drawing>
                  <wp:anchor distT="0" distB="0" distL="114300" distR="114300" simplePos="0" relativeHeight="251659264" behindDoc="0" locked="0" layoutInCell="1" allowOverlap="1" wp14:anchorId="59EB99A9" wp14:editId="3E72DE68">
                    <wp:simplePos x="0" y="0"/>
                    <wp:positionH relativeFrom="column">
                      <wp:posOffset>-28576</wp:posOffset>
                    </wp:positionH>
                    <wp:positionV relativeFrom="paragraph">
                      <wp:posOffset>109220</wp:posOffset>
                    </wp:positionV>
                    <wp:extent cx="58388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838825"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28E308A2"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pt,8.6pt" to="457.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" strokecolor="#ed7d31 [3205]" strokeweight="1.5pt">
                    <v:stroke joinstyle="miter"/>
                  </v:line>
                </w:pict>
              </mc:Fallback>
            </mc:AlternateContent>
          </w:r>
        </w:p>
      </w:sdtContent>
    </w:sdt>
    <w:p w14:paraId="35C7C73E" w14:textId="78398F66" w:rsidR="00817677" w:rsidRPr="0061772C" w:rsidRDefault="00244682" w:rsidP="0061772C">
      <w:pPr>
        <w:pStyle w:val="NormalWeb"/>
        <w:shd w:val="clear" w:color="auto" w:fill="FFFFFF"/>
        <w:spacing w:before="0" w:beforeAutospacing="0"/>
        <w:rPr>
          <w:rFonts w:ascii="Montserrat" w:eastAsiaTheme="minorHAnsi" w:hAnsi="Montserrat"/>
          <w:sz w:val="20"/>
          <w:szCs w:val="20"/>
        </w:rPr>
      </w:pPr>
      <w:r w:rsidRPr="00135F43">
        <w:rPr>
          <w:rStyle w:val="CCNormal"/>
          <w:rFonts w:eastAsiaTheme="minorHAnsi"/>
          <w:sz w:val="20"/>
          <w:szCs w:val="20"/>
        </w:rPr>
        <w:t>For further information</w:t>
      </w:r>
      <w:r w:rsidR="004F6CD1">
        <w:rPr>
          <w:rStyle w:val="CCNormal"/>
          <w:rFonts w:eastAsiaTheme="minorHAnsi"/>
          <w:sz w:val="20"/>
          <w:szCs w:val="20"/>
        </w:rPr>
        <w:t xml:space="preserve">: </w:t>
      </w:r>
      <w:r w:rsidR="004F6CD1" w:rsidRPr="0061772C">
        <w:rPr>
          <w:rStyle w:val="CCNormal"/>
          <w:rFonts w:eastAsiaTheme="minorHAnsi"/>
          <w:color w:val="6B7213"/>
          <w:sz w:val="20"/>
          <w:szCs w:val="20"/>
          <w:u w:val="single"/>
        </w:rPr>
        <w:t>cc.press-service@copa-cogeca.eu</w:t>
      </w:r>
    </w:p>
    <w:sectPr w:rsidR="00817677" w:rsidRPr="0061772C" w:rsidSect="00107120">
      <w:headerReference w:type="default" r:id="rId12"/>
      <w:footerReference w:type="default" r:id="rId13"/>
      <w:headerReference w:type="first" r:id="rId14"/>
      <w:footerReference w:type="first" r:id="rId15"/>
      <w:pgSz w:w="11906" w:h="16838"/>
      <w:pgMar w:top="1440" w:right="1440" w:bottom="1985" w:left="1440"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84815" w14:textId="77777777" w:rsidR="006A79AB" w:rsidRPr="00716D7C" w:rsidRDefault="006A79AB" w:rsidP="00716D7C">
      <w:r>
        <w:separator/>
      </w:r>
    </w:p>
  </w:endnote>
  <w:endnote w:type="continuationSeparator" w:id="0">
    <w:p w14:paraId="500D919D" w14:textId="77777777" w:rsidR="006A79AB" w:rsidRPr="00716D7C" w:rsidRDefault="006A79AB" w:rsidP="00716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57A134E-E4A5-49F4-8F60-BAE97201EE55}"/>
    <w:embedBold r:id="rId2" w:fontKey="{5B7D7D47-6634-465C-880F-A6547DE1DBDC}"/>
    <w:embedItalic r:id="rId3" w:fontKey="{20C6A7B9-D438-4B7E-87AB-8AA7A1AAA9F8}"/>
  </w:font>
  <w:font w:name="Montserrat Light">
    <w:charset w:val="00"/>
    <w:family w:val="auto"/>
    <w:pitch w:val="variable"/>
    <w:sig w:usb0="2000020F" w:usb1="00000003" w:usb2="00000000" w:usb3="00000000" w:csb0="00000197" w:csb1="00000000"/>
    <w:embedRegular r:id="rId4" w:fontKey="{2D54F8ED-6CC8-4B80-9200-BB6ED2382B11}"/>
  </w:font>
  <w:font w:name="Calibri Light">
    <w:panose1 w:val="020F0302020204030204"/>
    <w:charset w:val="00"/>
    <w:family w:val="swiss"/>
    <w:pitch w:val="variable"/>
    <w:sig w:usb0="E4002EFF" w:usb1="C200247B" w:usb2="00000009" w:usb3="00000000" w:csb0="000001FF" w:csb1="00000000"/>
    <w:embedRegular r:id="rId5" w:fontKey="{33299FB6-C8DE-402B-A45A-D031D76413AA}"/>
  </w:font>
  <w:font w:name="Yu Gothic Light">
    <w:altName w:val="游ゴシック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embedRegular r:id="rId6" w:fontKey="{D6E5BB45-E709-49A4-A329-F36752DAEBE4}"/>
    <w:embedBold r:id="rId7" w:fontKey="{CF89D377-1621-41E9-ACA2-FE4287FA4E92}"/>
    <w:embedItalic r:id="rId8" w:fontKey="{E40C1163-4279-482F-8855-9A43016E7236}"/>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F99E8" w14:textId="77777777" w:rsidR="00107120" w:rsidRPr="008403E3" w:rsidRDefault="00107120" w:rsidP="00107120">
    <w:pPr>
      <w:spacing w:after="0"/>
      <w:ind w:left="1134"/>
      <w:rPr>
        <w:rFonts w:ascii="Montserrat" w:hAnsi="Montserrat"/>
        <w:sz w:val="16"/>
        <w:szCs w:val="16"/>
      </w:rPr>
    </w:pPr>
    <w:r w:rsidRPr="008403E3">
      <w:rPr>
        <w:rFonts w:ascii="Montserrat" w:hAnsi="Montserrat"/>
        <w:noProof/>
        <w:color w:val="000000" w:themeColor="text1"/>
        <w:sz w:val="16"/>
        <w:szCs w:val="16"/>
      </w:rPr>
      <w:drawing>
        <wp:anchor distT="0" distB="0" distL="114300" distR="114300" simplePos="0" relativeHeight="251661312" behindDoc="1" locked="0" layoutInCell="1" allowOverlap="1" wp14:anchorId="66A33C82" wp14:editId="1F553A8B">
          <wp:simplePos x="0" y="0"/>
          <wp:positionH relativeFrom="margin">
            <wp:posOffset>60960</wp:posOffset>
          </wp:positionH>
          <wp:positionV relativeFrom="paragraph">
            <wp:posOffset>-60325</wp:posOffset>
          </wp:positionV>
          <wp:extent cx="495300" cy="506606"/>
          <wp:effectExtent l="0" t="0" r="0" b="8255"/>
          <wp:wrapNone/>
          <wp:docPr id="6" name="Picture 6"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8403E3">
      <w:rPr>
        <w:rFonts w:ascii="Montserrat" w:hAnsi="Montserrat"/>
        <w:sz w:val="16"/>
        <w:szCs w:val="16"/>
      </w:rPr>
      <w:t xml:space="preserve">Copa - Cogeca | European Farmers European Agri-Cooperatives </w:t>
    </w:r>
  </w:p>
  <w:p w14:paraId="51701B11" w14:textId="77777777" w:rsidR="00107120" w:rsidRPr="005067BB" w:rsidRDefault="00107120" w:rsidP="00107120">
    <w:pPr>
      <w:spacing w:after="0"/>
      <w:ind w:left="1134"/>
      <w:rPr>
        <w:rFonts w:ascii="Montserrat" w:hAnsi="Montserrat"/>
        <w:sz w:val="16"/>
        <w:szCs w:val="16"/>
        <w:lang w:val="fr-BE"/>
      </w:rPr>
    </w:pPr>
    <w:r w:rsidRPr="005067BB">
      <w:rPr>
        <w:rFonts w:ascii="Montserrat" w:hAnsi="Montserrat"/>
        <w:sz w:val="16"/>
        <w:szCs w:val="16"/>
        <w:lang w:val="fr-BE"/>
      </w:rPr>
      <w:t xml:space="preserve">61, Rue de Trèves | B - 1040 Bruxelles | www.copa-cogeca.eu  </w:t>
    </w:r>
  </w:p>
  <w:p w14:paraId="54CB4772"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EU Transparency Register Number | Copa 44856881231-49 | Cogeca 09586631237-74</w:t>
    </w:r>
  </w:p>
  <w:p w14:paraId="1580CC50" w14:textId="77777777" w:rsidR="00107120" w:rsidRDefault="0010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31BA3" w14:textId="77777777" w:rsidR="00107120" w:rsidRPr="008403E3" w:rsidRDefault="00107120" w:rsidP="00107120">
    <w:pPr>
      <w:spacing w:after="0"/>
      <w:ind w:left="1134"/>
      <w:rPr>
        <w:rFonts w:ascii="Montserrat" w:hAnsi="Montserrat"/>
        <w:sz w:val="16"/>
        <w:szCs w:val="16"/>
      </w:rPr>
    </w:pPr>
    <w:r w:rsidRPr="008403E3">
      <w:rPr>
        <w:rFonts w:ascii="Montserrat" w:hAnsi="Montserrat"/>
        <w:noProof/>
        <w:color w:val="000000" w:themeColor="text1"/>
        <w:sz w:val="16"/>
        <w:szCs w:val="16"/>
      </w:rPr>
      <w:drawing>
        <wp:anchor distT="0" distB="0" distL="114300" distR="114300" simplePos="0" relativeHeight="251659264" behindDoc="1" locked="0" layoutInCell="1" allowOverlap="1" wp14:anchorId="6309ADDF" wp14:editId="05602E0A">
          <wp:simplePos x="0" y="0"/>
          <wp:positionH relativeFrom="margin">
            <wp:posOffset>60960</wp:posOffset>
          </wp:positionH>
          <wp:positionV relativeFrom="paragraph">
            <wp:posOffset>-60325</wp:posOffset>
          </wp:positionV>
          <wp:extent cx="495300" cy="506606"/>
          <wp:effectExtent l="0" t="0" r="0" b="8255"/>
          <wp:wrapNone/>
          <wp:docPr id="10" name="Picture 10"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8403E3">
      <w:rPr>
        <w:rFonts w:ascii="Montserrat" w:hAnsi="Montserrat"/>
        <w:sz w:val="16"/>
        <w:szCs w:val="16"/>
      </w:rPr>
      <w:t xml:space="preserve">Copa - Cogeca | European Farmers European Agri-Cooperatives </w:t>
    </w:r>
  </w:p>
  <w:p w14:paraId="4B07EDD1" w14:textId="77777777" w:rsidR="00107120" w:rsidRPr="005067BB" w:rsidRDefault="00107120" w:rsidP="00107120">
    <w:pPr>
      <w:spacing w:after="0"/>
      <w:ind w:left="1134"/>
      <w:rPr>
        <w:rFonts w:ascii="Montserrat" w:hAnsi="Montserrat"/>
        <w:sz w:val="16"/>
        <w:szCs w:val="16"/>
        <w:lang w:val="fr-BE"/>
      </w:rPr>
    </w:pPr>
    <w:r w:rsidRPr="005067BB">
      <w:rPr>
        <w:rFonts w:ascii="Montserrat" w:hAnsi="Montserrat"/>
        <w:sz w:val="16"/>
        <w:szCs w:val="16"/>
        <w:lang w:val="fr-BE"/>
      </w:rPr>
      <w:t xml:space="preserve">61, Rue de Trèves | B - 1040 Bruxelles | www.copa-cogeca.eu  </w:t>
    </w:r>
  </w:p>
  <w:p w14:paraId="0A3B4E36"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EU Transparency Register Number | Copa 44856881231-49 | Cogeca 09586631237-74</w:t>
    </w:r>
  </w:p>
  <w:p w14:paraId="20341495" w14:textId="77777777" w:rsidR="00135F43" w:rsidRDefault="00135F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B2B83" w14:textId="77777777" w:rsidR="006A79AB" w:rsidRPr="00716D7C" w:rsidRDefault="006A79AB" w:rsidP="00716D7C">
      <w:r>
        <w:separator/>
      </w:r>
    </w:p>
  </w:footnote>
  <w:footnote w:type="continuationSeparator" w:id="0">
    <w:p w14:paraId="2F48B01D" w14:textId="77777777" w:rsidR="006A79AB" w:rsidRPr="00716D7C" w:rsidRDefault="006A79AB" w:rsidP="00716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CE1C" w14:textId="77777777" w:rsidR="003D1D89" w:rsidRPr="00B953B8" w:rsidRDefault="003D1D89" w:rsidP="002D57AF">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rPr>
      <w:alias w:val="Insert Logo"/>
      <w:tag w:val="Insert Logo"/>
      <w:id w:val="-1871138787"/>
      <w:picture/>
    </w:sdtPr>
    <w:sdtEndPr/>
    <w:sdtContent>
      <w:p w14:paraId="4D31768F" w14:textId="77777777" w:rsidR="00135F43" w:rsidRDefault="00135F43" w:rsidP="00135F43">
        <w:pPr>
          <w:jc w:val="left"/>
          <w:rPr>
            <w:noProof/>
          </w:rPr>
        </w:pPr>
        <w:r w:rsidRPr="00716D7C">
          <w:rPr>
            <w:noProof/>
          </w:rPr>
          <w:drawing>
            <wp:inline distT="0" distB="0" distL="0" distR="0" wp14:anchorId="23B3AEE1" wp14:editId="3F48B30C">
              <wp:extent cx="2324104" cy="581025"/>
              <wp:effectExtent l="0" t="0" r="0" b="9525"/>
              <wp:docPr id="9" name="Picture 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aphical user interfac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2754" cy="593188"/>
                      </a:xfrm>
                      <a:prstGeom prst="rect">
                        <a:avLst/>
                      </a:prstGeom>
                    </pic:spPr>
                  </pic:pic>
                </a:graphicData>
              </a:graphic>
            </wp:inline>
          </w:drawing>
        </w:r>
      </w:p>
    </w:sdtContent>
  </w:sdt>
  <w:p w14:paraId="7D9E27BC" w14:textId="77777777" w:rsidR="00135F43" w:rsidRDefault="00135F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A082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DE2C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3EDB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1768A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563C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26BB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E8AF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885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0AB2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2C2D0A"/>
    <w:lvl w:ilvl="0">
      <w:start w:val="1"/>
      <w:numFmt w:val="bullet"/>
      <w:lvlText w:val=""/>
      <w:lvlJc w:val="left"/>
      <w:pPr>
        <w:tabs>
          <w:tab w:val="num" w:pos="360"/>
        </w:tabs>
        <w:ind w:left="360" w:hanging="360"/>
      </w:pPr>
      <w:rPr>
        <w:rFonts w:ascii="Symbol" w:hAnsi="Symbol" w:hint="default"/>
      </w:rPr>
    </w:lvl>
  </w:abstractNum>
  <w:num w:numId="1" w16cid:durableId="875384375">
    <w:abstractNumId w:val="9"/>
  </w:num>
  <w:num w:numId="2" w16cid:durableId="1855874924">
    <w:abstractNumId w:val="7"/>
  </w:num>
  <w:num w:numId="3" w16cid:durableId="348916683">
    <w:abstractNumId w:val="6"/>
  </w:num>
  <w:num w:numId="4" w16cid:durableId="1242330869">
    <w:abstractNumId w:val="5"/>
  </w:num>
  <w:num w:numId="5" w16cid:durableId="1799756353">
    <w:abstractNumId w:val="4"/>
  </w:num>
  <w:num w:numId="6" w16cid:durableId="168065969">
    <w:abstractNumId w:val="8"/>
  </w:num>
  <w:num w:numId="7" w16cid:durableId="1836727781">
    <w:abstractNumId w:val="3"/>
  </w:num>
  <w:num w:numId="8" w16cid:durableId="1603414516">
    <w:abstractNumId w:val="2"/>
  </w:num>
  <w:num w:numId="9" w16cid:durableId="998777433">
    <w:abstractNumId w:val="1"/>
  </w:num>
  <w:num w:numId="10" w16cid:durableId="1215236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styleLockThe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CD1"/>
    <w:rsid w:val="00006AB9"/>
    <w:rsid w:val="000356F5"/>
    <w:rsid w:val="00071DB6"/>
    <w:rsid w:val="000B1D84"/>
    <w:rsid w:val="000D2B3B"/>
    <w:rsid w:val="000D34BA"/>
    <w:rsid w:val="000E5AED"/>
    <w:rsid w:val="00100850"/>
    <w:rsid w:val="00107120"/>
    <w:rsid w:val="00117877"/>
    <w:rsid w:val="00121DB3"/>
    <w:rsid w:val="0013357E"/>
    <w:rsid w:val="00135F43"/>
    <w:rsid w:val="00146C88"/>
    <w:rsid w:val="0015598F"/>
    <w:rsid w:val="001648FF"/>
    <w:rsid w:val="00165DC9"/>
    <w:rsid w:val="00171312"/>
    <w:rsid w:val="00175F2B"/>
    <w:rsid w:val="001765DD"/>
    <w:rsid w:val="00182716"/>
    <w:rsid w:val="00187A93"/>
    <w:rsid w:val="001950AD"/>
    <w:rsid w:val="001A0D21"/>
    <w:rsid w:val="001E1ED9"/>
    <w:rsid w:val="001F1C55"/>
    <w:rsid w:val="00215D96"/>
    <w:rsid w:val="00226FEE"/>
    <w:rsid w:val="00235A0D"/>
    <w:rsid w:val="00242DB9"/>
    <w:rsid w:val="00244682"/>
    <w:rsid w:val="002562CB"/>
    <w:rsid w:val="002606E9"/>
    <w:rsid w:val="00272E26"/>
    <w:rsid w:val="002B0FFD"/>
    <w:rsid w:val="002D4EA5"/>
    <w:rsid w:val="002D57AF"/>
    <w:rsid w:val="002E02A5"/>
    <w:rsid w:val="003126C2"/>
    <w:rsid w:val="00327F42"/>
    <w:rsid w:val="003318A3"/>
    <w:rsid w:val="00341D97"/>
    <w:rsid w:val="003503C8"/>
    <w:rsid w:val="003557C1"/>
    <w:rsid w:val="003747AC"/>
    <w:rsid w:val="00380165"/>
    <w:rsid w:val="0039774E"/>
    <w:rsid w:val="003B1D9A"/>
    <w:rsid w:val="003B68CB"/>
    <w:rsid w:val="003C0EEB"/>
    <w:rsid w:val="003C4C18"/>
    <w:rsid w:val="003D1D89"/>
    <w:rsid w:val="003F44AB"/>
    <w:rsid w:val="00445C22"/>
    <w:rsid w:val="00467BDE"/>
    <w:rsid w:val="00486A5D"/>
    <w:rsid w:val="004C39C3"/>
    <w:rsid w:val="004D1FA4"/>
    <w:rsid w:val="004F6CD1"/>
    <w:rsid w:val="004F6EE0"/>
    <w:rsid w:val="005067BB"/>
    <w:rsid w:val="005202ED"/>
    <w:rsid w:val="00553C59"/>
    <w:rsid w:val="0056456D"/>
    <w:rsid w:val="00590988"/>
    <w:rsid w:val="00592F70"/>
    <w:rsid w:val="005E5961"/>
    <w:rsid w:val="00600ED3"/>
    <w:rsid w:val="00607BB2"/>
    <w:rsid w:val="00614B2D"/>
    <w:rsid w:val="0061772C"/>
    <w:rsid w:val="00641635"/>
    <w:rsid w:val="006662C9"/>
    <w:rsid w:val="00671B34"/>
    <w:rsid w:val="006772EB"/>
    <w:rsid w:val="00681DA3"/>
    <w:rsid w:val="006A4601"/>
    <w:rsid w:val="006A79AB"/>
    <w:rsid w:val="006B673C"/>
    <w:rsid w:val="006B74EB"/>
    <w:rsid w:val="006C0583"/>
    <w:rsid w:val="006C4A88"/>
    <w:rsid w:val="006D70A8"/>
    <w:rsid w:val="006E59B7"/>
    <w:rsid w:val="006F5CEF"/>
    <w:rsid w:val="00716D7C"/>
    <w:rsid w:val="007306AC"/>
    <w:rsid w:val="00734E47"/>
    <w:rsid w:val="00755664"/>
    <w:rsid w:val="007556F3"/>
    <w:rsid w:val="00756DEA"/>
    <w:rsid w:val="00767438"/>
    <w:rsid w:val="00777A2D"/>
    <w:rsid w:val="0078288C"/>
    <w:rsid w:val="007844E9"/>
    <w:rsid w:val="007915EA"/>
    <w:rsid w:val="007B5E6E"/>
    <w:rsid w:val="007B6D94"/>
    <w:rsid w:val="007B7735"/>
    <w:rsid w:val="007C5E9B"/>
    <w:rsid w:val="007F3E4D"/>
    <w:rsid w:val="00800A86"/>
    <w:rsid w:val="00805042"/>
    <w:rsid w:val="00817677"/>
    <w:rsid w:val="00850375"/>
    <w:rsid w:val="00851336"/>
    <w:rsid w:val="00860527"/>
    <w:rsid w:val="00864920"/>
    <w:rsid w:val="00867FA8"/>
    <w:rsid w:val="00871AD7"/>
    <w:rsid w:val="008816F4"/>
    <w:rsid w:val="008A0BFA"/>
    <w:rsid w:val="008C0429"/>
    <w:rsid w:val="008C0994"/>
    <w:rsid w:val="008E7E54"/>
    <w:rsid w:val="008F3AB6"/>
    <w:rsid w:val="008F4138"/>
    <w:rsid w:val="009000CA"/>
    <w:rsid w:val="00901C69"/>
    <w:rsid w:val="00903528"/>
    <w:rsid w:val="0090748C"/>
    <w:rsid w:val="00922B6D"/>
    <w:rsid w:val="00925C9C"/>
    <w:rsid w:val="00941D98"/>
    <w:rsid w:val="00947501"/>
    <w:rsid w:val="00955DDE"/>
    <w:rsid w:val="009651F6"/>
    <w:rsid w:val="00990273"/>
    <w:rsid w:val="009A3999"/>
    <w:rsid w:val="009A78D2"/>
    <w:rsid w:val="009D163E"/>
    <w:rsid w:val="009D40C9"/>
    <w:rsid w:val="009F1163"/>
    <w:rsid w:val="00A1126D"/>
    <w:rsid w:val="00A20342"/>
    <w:rsid w:val="00A31B3C"/>
    <w:rsid w:val="00A63781"/>
    <w:rsid w:val="00A9463E"/>
    <w:rsid w:val="00AE5E6F"/>
    <w:rsid w:val="00AF6D18"/>
    <w:rsid w:val="00B013FC"/>
    <w:rsid w:val="00B01B09"/>
    <w:rsid w:val="00B22284"/>
    <w:rsid w:val="00B37D8B"/>
    <w:rsid w:val="00B572F1"/>
    <w:rsid w:val="00B631E7"/>
    <w:rsid w:val="00B650F0"/>
    <w:rsid w:val="00B70EDD"/>
    <w:rsid w:val="00B714A2"/>
    <w:rsid w:val="00B77564"/>
    <w:rsid w:val="00B828EF"/>
    <w:rsid w:val="00B953B8"/>
    <w:rsid w:val="00BA622B"/>
    <w:rsid w:val="00BC42AC"/>
    <w:rsid w:val="00BE0D6B"/>
    <w:rsid w:val="00BE22AC"/>
    <w:rsid w:val="00C00B16"/>
    <w:rsid w:val="00C20330"/>
    <w:rsid w:val="00C26FE0"/>
    <w:rsid w:val="00C435EA"/>
    <w:rsid w:val="00C51DE9"/>
    <w:rsid w:val="00C5271A"/>
    <w:rsid w:val="00C544BA"/>
    <w:rsid w:val="00CA4479"/>
    <w:rsid w:val="00CA4F69"/>
    <w:rsid w:val="00CC4394"/>
    <w:rsid w:val="00CE19D7"/>
    <w:rsid w:val="00CF4B85"/>
    <w:rsid w:val="00CF7B23"/>
    <w:rsid w:val="00D10189"/>
    <w:rsid w:val="00D1533B"/>
    <w:rsid w:val="00D15F84"/>
    <w:rsid w:val="00D239FF"/>
    <w:rsid w:val="00D407DE"/>
    <w:rsid w:val="00D66617"/>
    <w:rsid w:val="00D72C78"/>
    <w:rsid w:val="00D9547E"/>
    <w:rsid w:val="00DE77B5"/>
    <w:rsid w:val="00DF6217"/>
    <w:rsid w:val="00E05511"/>
    <w:rsid w:val="00E2211C"/>
    <w:rsid w:val="00E510B1"/>
    <w:rsid w:val="00E618D6"/>
    <w:rsid w:val="00E6727E"/>
    <w:rsid w:val="00E72924"/>
    <w:rsid w:val="00E9016C"/>
    <w:rsid w:val="00E92FBE"/>
    <w:rsid w:val="00E95D41"/>
    <w:rsid w:val="00EA132D"/>
    <w:rsid w:val="00F145A0"/>
    <w:rsid w:val="00F25A49"/>
    <w:rsid w:val="00F4320D"/>
    <w:rsid w:val="00F51866"/>
    <w:rsid w:val="00F52C33"/>
    <w:rsid w:val="00F53D64"/>
    <w:rsid w:val="00F63519"/>
    <w:rsid w:val="00F96720"/>
    <w:rsid w:val="00FC7250"/>
    <w:rsid w:val="00FE486D"/>
  </w:rsids>
  <m:mathPr>
    <m:mathFont m:val="Cambria Math"/>
    <m:brkBin m:val="before"/>
    <m:brkBinSub m:val="--"/>
    <m:smallFrac m:val="0"/>
    <m:dispDef/>
    <m:lMargin m:val="0"/>
    <m:rMargin m:val="0"/>
    <m:defJc m:val="centerGroup"/>
    <m:wrapIndent m:val="1440"/>
    <m:intLim m:val="subSup"/>
    <m:naryLim m:val="undOvr"/>
  </m:mathPr>
  <w:themeFontLang w:val="en-B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7DACB"/>
  <w15:chartTrackingRefBased/>
  <w15:docId w15:val="{1133CDAC-492E-468A-99C1-C47E1BB8A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BE"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1E1ED9"/>
    <w:pPr>
      <w:spacing w:line="276" w:lineRule="auto"/>
      <w:jc w:val="both"/>
    </w:pPr>
    <w:rPr>
      <w:rFonts w:ascii="Montserrat Light" w:hAnsi="Montserrat Light"/>
      <w:color w:val="404040" w:themeColor="text1" w:themeTint="BF"/>
      <w:lang w:val="en-GB"/>
    </w:rPr>
  </w:style>
  <w:style w:type="paragraph" w:styleId="Heading1">
    <w:name w:val="heading 1"/>
    <w:basedOn w:val="Normal"/>
    <w:next w:val="Normal"/>
    <w:link w:val="Heading1Char"/>
    <w:uiPriority w:val="9"/>
    <w:qFormat/>
    <w:locked/>
    <w:rsid w:val="00867F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locked/>
    <w:rsid w:val="00182716"/>
    <w:pPr>
      <w:spacing w:before="100" w:beforeAutospacing="1" w:after="100" w:afterAutospacing="1" w:line="240" w:lineRule="auto"/>
    </w:pPr>
    <w:rPr>
      <w:rFonts w:ascii="Times New Roman" w:eastAsia="Times New Roman" w:hAnsi="Times New Roman" w:cs="Times New Roman"/>
      <w:sz w:val="24"/>
      <w:szCs w:val="24"/>
      <w:lang w:eastAsia="en-BE"/>
    </w:rPr>
  </w:style>
  <w:style w:type="character" w:styleId="Hyperlink">
    <w:name w:val="Hyperlink"/>
    <w:basedOn w:val="DefaultParagraphFont"/>
    <w:uiPriority w:val="99"/>
    <w:unhideWhenUsed/>
    <w:qFormat/>
    <w:rsid w:val="00DF6217"/>
    <w:rPr>
      <w:color w:val="6B7213"/>
      <w:u w:val="single"/>
    </w:rPr>
  </w:style>
  <w:style w:type="character" w:styleId="UnresolvedMention">
    <w:name w:val="Unresolved Mention"/>
    <w:basedOn w:val="DefaultParagraphFont"/>
    <w:uiPriority w:val="99"/>
    <w:semiHidden/>
    <w:unhideWhenUsed/>
    <w:locked/>
    <w:rsid w:val="00903528"/>
    <w:rPr>
      <w:color w:val="605E5C"/>
      <w:shd w:val="clear" w:color="auto" w:fill="E1DFDD"/>
    </w:rPr>
  </w:style>
  <w:style w:type="paragraph" w:styleId="Header">
    <w:name w:val="header"/>
    <w:basedOn w:val="Normal"/>
    <w:link w:val="HeaderChar"/>
    <w:uiPriority w:val="99"/>
    <w:unhideWhenUsed/>
    <w:locked/>
    <w:rsid w:val="00006A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AB9"/>
  </w:style>
  <w:style w:type="paragraph" w:styleId="Footer">
    <w:name w:val="footer"/>
    <w:basedOn w:val="Normal"/>
    <w:link w:val="FooterChar"/>
    <w:uiPriority w:val="99"/>
    <w:unhideWhenUsed/>
    <w:locked/>
    <w:rsid w:val="00006A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AB9"/>
  </w:style>
  <w:style w:type="table" w:styleId="TableGrid">
    <w:name w:val="Table Grid"/>
    <w:basedOn w:val="TableNormal"/>
    <w:uiPriority w:val="39"/>
    <w:locked/>
    <w:rsid w:val="00E67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locked/>
    <w:rsid w:val="00F63519"/>
    <w:rPr>
      <w:color w:val="808080"/>
    </w:rPr>
  </w:style>
  <w:style w:type="character" w:customStyle="1" w:styleId="CCType">
    <w:name w:val="CC Type"/>
    <w:uiPriority w:val="1"/>
    <w:qFormat/>
    <w:rsid w:val="00F145A0"/>
    <w:rPr>
      <w:rFonts w:ascii="Montserrat" w:hAnsi="Montserrat"/>
      <w:b/>
      <w:bCs/>
      <w:color w:val="CA6D05"/>
      <w:sz w:val="36"/>
    </w:rPr>
  </w:style>
  <w:style w:type="character" w:customStyle="1" w:styleId="CCTitle">
    <w:name w:val="CC Title"/>
    <w:uiPriority w:val="1"/>
    <w:qFormat/>
    <w:rsid w:val="006C4A88"/>
    <w:rPr>
      <w:rFonts w:ascii="Montserrat" w:hAnsi="Montserrat"/>
      <w:b/>
      <w:color w:val="767171" w:themeColor="background2" w:themeShade="80"/>
      <w:sz w:val="36"/>
    </w:rPr>
  </w:style>
  <w:style w:type="character" w:customStyle="1" w:styleId="Heading1Char">
    <w:name w:val="Heading 1 Char"/>
    <w:basedOn w:val="DefaultParagraphFont"/>
    <w:link w:val="Heading1"/>
    <w:uiPriority w:val="9"/>
    <w:rsid w:val="00867FA8"/>
    <w:rPr>
      <w:rFonts w:asciiTheme="majorHAnsi" w:eastAsiaTheme="majorEastAsia" w:hAnsiTheme="majorHAnsi" w:cstheme="majorBidi"/>
      <w:color w:val="2F5496" w:themeColor="accent1" w:themeShade="BF"/>
      <w:sz w:val="32"/>
      <w:szCs w:val="32"/>
    </w:rPr>
  </w:style>
  <w:style w:type="character" w:customStyle="1" w:styleId="CCNormal">
    <w:name w:val="CC Normal"/>
    <w:uiPriority w:val="1"/>
    <w:qFormat/>
    <w:rsid w:val="009D163E"/>
    <w:rPr>
      <w:rFonts w:ascii="Montserrat" w:hAnsi="Montserrat"/>
      <w:color w:val="3B3838" w:themeColor="background2" w:themeShade="40"/>
      <w:sz w:val="22"/>
    </w:rPr>
  </w:style>
  <w:style w:type="paragraph" w:styleId="Index5">
    <w:name w:val="index 5"/>
    <w:basedOn w:val="Normal"/>
    <w:next w:val="Normal"/>
    <w:autoRedefine/>
    <w:uiPriority w:val="99"/>
    <w:unhideWhenUsed/>
    <w:locked/>
    <w:rsid w:val="00777A2D"/>
    <w:pPr>
      <w:spacing w:after="0" w:line="240" w:lineRule="auto"/>
      <w:ind w:left="1100" w:hanging="220"/>
    </w:pPr>
  </w:style>
  <w:style w:type="paragraph" w:customStyle="1" w:styleId="CCDocBody">
    <w:name w:val="CC Doc Body"/>
    <w:basedOn w:val="NormalWeb"/>
    <w:link w:val="CCDocBodyChar"/>
    <w:qFormat/>
    <w:locked/>
    <w:rsid w:val="002E02A5"/>
    <w:pPr>
      <w:shd w:val="clear" w:color="auto" w:fill="FFFFFF"/>
      <w:spacing w:before="0" w:beforeAutospacing="0" w:line="276" w:lineRule="auto"/>
    </w:pPr>
    <w:rPr>
      <w:rFonts w:ascii="Montserrat Light" w:eastAsiaTheme="minorHAnsi" w:hAnsi="Montserrat Light" w:cstheme="minorBidi"/>
      <w:color w:val="595959" w:themeColor="text1" w:themeTint="A6"/>
      <w:sz w:val="22"/>
      <w:szCs w:val="22"/>
      <w:lang w:eastAsia="en-US"/>
    </w:rPr>
  </w:style>
  <w:style w:type="character" w:customStyle="1" w:styleId="NormalWebChar">
    <w:name w:val="Normal (Web) Char"/>
    <w:basedOn w:val="DefaultParagraphFont"/>
    <w:link w:val="NormalWeb"/>
    <w:uiPriority w:val="99"/>
    <w:rsid w:val="00467BDE"/>
    <w:rPr>
      <w:rFonts w:ascii="Times New Roman" w:eastAsia="Times New Roman" w:hAnsi="Times New Roman" w:cs="Times New Roman"/>
      <w:sz w:val="24"/>
      <w:szCs w:val="24"/>
      <w:lang w:eastAsia="en-BE"/>
    </w:rPr>
  </w:style>
  <w:style w:type="character" w:customStyle="1" w:styleId="CCSubtitle">
    <w:name w:val="CC Subtitle"/>
    <w:basedOn w:val="DefaultParagraphFont"/>
    <w:uiPriority w:val="1"/>
    <w:qFormat/>
    <w:rsid w:val="009D163E"/>
    <w:rPr>
      <w:rFonts w:ascii="Montserrat" w:hAnsi="Montserrat"/>
      <w:b/>
      <w:color w:val="7F7F7F" w:themeColor="text1" w:themeTint="80"/>
      <w:sz w:val="22"/>
    </w:rPr>
  </w:style>
  <w:style w:type="paragraph" w:styleId="NoSpacing">
    <w:name w:val="No Spacing"/>
    <w:uiPriority w:val="1"/>
    <w:qFormat/>
    <w:rsid w:val="00860527"/>
    <w:pPr>
      <w:spacing w:after="0" w:line="240" w:lineRule="auto"/>
    </w:pPr>
    <w:rPr>
      <w:rFonts w:ascii="Montserrat Light" w:hAnsi="Montserrat Light"/>
      <w:color w:val="404040" w:themeColor="text1" w:themeTint="BF"/>
    </w:rPr>
  </w:style>
  <w:style w:type="character" w:customStyle="1" w:styleId="CCDocBodyChar">
    <w:name w:val="CC Doc Body Char"/>
    <w:basedOn w:val="NormalWebChar"/>
    <w:link w:val="CCDocBody"/>
    <w:rsid w:val="002E02A5"/>
    <w:rPr>
      <w:rFonts w:ascii="Montserrat Light" w:eastAsia="Times New Roman" w:hAnsi="Montserrat Light" w:cs="Times New Roman"/>
      <w:color w:val="595959" w:themeColor="text1" w:themeTint="A6"/>
      <w:sz w:val="24"/>
      <w:szCs w:val="24"/>
      <w:shd w:val="clear" w:color="auto" w:fill="FFFFFF"/>
      <w:lang w:eastAsia="en-BE"/>
    </w:rPr>
  </w:style>
  <w:style w:type="character" w:customStyle="1" w:styleId="CCNoSpacing">
    <w:name w:val="CC No Spacing"/>
    <w:basedOn w:val="DefaultParagraphFont"/>
    <w:uiPriority w:val="1"/>
    <w:qFormat/>
    <w:rsid w:val="003F44AB"/>
    <w:rPr>
      <w:rFonts w:ascii="Montserrat Light" w:hAnsi="Montserrat Light"/>
      <w:sz w:val="22"/>
    </w:rPr>
  </w:style>
  <w:style w:type="character" w:customStyle="1" w:styleId="CCBody">
    <w:name w:val="CC Body"/>
    <w:uiPriority w:val="1"/>
    <w:qFormat/>
    <w:rsid w:val="00135F43"/>
    <w:rPr>
      <w:rFonts w:ascii="Montserrat Light" w:eastAsiaTheme="minorHAnsi" w:hAnsi="Montserrat Light" w:cstheme="minorBidi"/>
      <w:color w:val="58595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62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a-cogeca.e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pwid2174.sharepoint.com/sites/templates/agrihub_templates/13.%20Press%20Publication/Press%20Publication%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E22A7436754A1E806D6F53AEC1966B"/>
        <w:category>
          <w:name w:val="General"/>
          <w:gallery w:val="placeholder"/>
        </w:category>
        <w:types>
          <w:type w:val="bbPlcHdr"/>
        </w:types>
        <w:behaviors>
          <w:behavior w:val="content"/>
        </w:behaviors>
        <w:guid w:val="{36A34884-E1CE-4825-9274-CB43BEAC5D71}"/>
      </w:docPartPr>
      <w:docPartBody>
        <w:p w:rsidR="00AA7FA1" w:rsidRDefault="00AA7FA1">
          <w:pPr>
            <w:pStyle w:val="36E22A7436754A1E806D6F53AEC1966B"/>
          </w:pPr>
          <w:r w:rsidRPr="007E5A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Ligh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FA1"/>
    <w:rsid w:val="00AA7FA1"/>
    <w:rsid w:val="00C00B16"/>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BE" w:eastAsia="en-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168AEA3764C4052A388DDB16DE76A6C">
    <w:name w:val="A168AEA3764C4052A388DDB16DE76A6C"/>
  </w:style>
  <w:style w:type="paragraph" w:customStyle="1" w:styleId="3148D417C9F647868A0B197ABE6B57A3">
    <w:name w:val="3148D417C9F647868A0B197ABE6B57A3"/>
  </w:style>
  <w:style w:type="paragraph" w:customStyle="1" w:styleId="6F120202E9EB45D6A2F21D96EAFF4D1C">
    <w:name w:val="6F120202E9EB45D6A2F21D96EAFF4D1C"/>
  </w:style>
  <w:style w:type="paragraph" w:customStyle="1" w:styleId="36E22A7436754A1E806D6F53AEC1966B">
    <w:name w:val="36E22A7436754A1E806D6F53AEC196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3F1E44D11FB5541B54532D5B8D19464" ma:contentTypeVersion="4" ma:contentTypeDescription="Create a new document." ma:contentTypeScope="" ma:versionID="7f91bdcaff27088b04d97f8bef19a965">
  <xsd:schema xmlns:xsd="http://www.w3.org/2001/XMLSchema" xmlns:xs="http://www.w3.org/2001/XMLSchema" xmlns:p="http://schemas.microsoft.com/office/2006/metadata/properties" xmlns:ns2="b073dc0b-c155-4f91-94b4-670be88b0342" targetNamespace="http://schemas.microsoft.com/office/2006/metadata/properties" ma:root="true" ma:fieldsID="cdbf1ba178e5364e16717c1186c56f59" ns2:_="">
    <xsd:import namespace="b073dc0b-c155-4f91-94b4-670be88b03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3dc0b-c155-4f91-94b4-670be88b03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3B4C95-DDE0-473F-A31A-A404541D3FC9}">
  <ds:schemaRefs>
    <ds:schemaRef ds:uri="http://schemas.openxmlformats.org/officeDocument/2006/bibliography"/>
  </ds:schemaRefs>
</ds:datastoreItem>
</file>

<file path=customXml/itemProps2.xml><?xml version="1.0" encoding="utf-8"?>
<ds:datastoreItem xmlns:ds="http://schemas.openxmlformats.org/officeDocument/2006/customXml" ds:itemID="{3DD96C3E-159D-44E1-A9B1-BF52AB020E34}">
  <ds:schemaRefs>
    <ds:schemaRef ds:uri="http://schemas.microsoft.com/sharepoint/v3/contenttype/forms"/>
  </ds:schemaRefs>
</ds:datastoreItem>
</file>

<file path=customXml/itemProps3.xml><?xml version="1.0" encoding="utf-8"?>
<ds:datastoreItem xmlns:ds="http://schemas.openxmlformats.org/officeDocument/2006/customXml" ds:itemID="{6D67F1E7-44CE-43A9-BAA8-65E9538129D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2B0BD93-E772-4A0D-B8D0-920B12D6D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3dc0b-c155-4f91-94b4-670be88b03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Press%20Publication%20Template%202026.dotx</Template>
  <TotalTime>26</TotalTime>
  <Pages>3</Pages>
  <Words>1335</Words>
  <Characters>7420</Characters>
  <Application>Microsoft Office Word</Application>
  <DocSecurity>0</DocSecurity>
  <Lines>116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Maëlle Mabecque</dc:creator>
  <cp:keywords/>
  <dc:description/>
  <cp:lastModifiedBy/>
  <cp:revision>1</cp:revision>
  <dcterms:created xsi:type="dcterms:W3CDTF">2026-09-01T09:40:00Z</dcterms:created>
  <dcterms:modified xsi:type="dcterms:W3CDTF">1601-01-01T00:00:00Z</dcterms:modified>
</cp:coreProperties>
</file>

<file path=docProps/custom.xml><?xml version="1.0" encoding="utf-8"?>
<op:Properties xmlns:vt="http://schemas.openxmlformats.org/officeDocument/2006/docPropsVTypes" xmlns:op="http://schemas.openxmlformats.org/officeDocument/2006/custom-properties"/>
</file>