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5498C" w14:textId="26E344A4" w:rsidR="00767438" w:rsidRPr="00647122" w:rsidRDefault="00767438" w:rsidP="000356F5">
      <w:pPr>
        <w:spacing w:after="0"/>
        <w:rPr>
          <w:rFonts w:ascii="Montserrat" w:hAnsi="Montserrat"/>
        </w:rPr>
      </w:pPr>
      <w:r>
        <w:rPr>
          <w:rStyle w:val="CCNormal"/>
        </w:rPr>
        <w:t>Réf.</w:t>
      </w:r>
      <w:r>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r w:rsidR="00647122">
        <w:rPr>
          <w:rFonts w:ascii="Montserrat" w:hAnsi="Montserrat"/>
        </w:rPr>
        <w:t>COMM(26)01908[1]</w:t>
      </w:r>
      <w:r w:rsidR="00380165">
        <w:rPr>
          <w:rFonts w:ascii="Montserrat" w:hAnsi="Montserrat"/>
        </w:rPr>
        <w:fldChar w:fldCharType="end"/>
      </w:r>
      <w:r>
        <w:rPr>
          <w:rFonts w:ascii="Montserrat" w:hAnsi="Montserrat"/>
        </w:rPr>
        <w:tab/>
      </w:r>
      <w:r>
        <w:rPr>
          <w:rFonts w:ascii="Montserrat" w:hAnsi="Montserrat"/>
        </w:rPr>
        <w:tab/>
      </w:r>
      <w:r>
        <w:rPr>
          <w:rFonts w:ascii="Montserrat" w:hAnsi="Montserrat"/>
        </w:rPr>
        <w:tab/>
      </w:r>
      <w:r w:rsidR="00647122">
        <w:rPr>
          <w:rFonts w:ascii="Montserrat" w:hAnsi="Montserrat"/>
        </w:rPr>
        <w:tab/>
      </w:r>
      <w:r w:rsidR="00647122">
        <w:rPr>
          <w:rFonts w:ascii="Montserrat" w:hAnsi="Montserrat"/>
        </w:rPr>
        <w:tab/>
      </w:r>
      <w:r w:rsidR="00647122">
        <w:rPr>
          <w:rFonts w:ascii="Montserrat" w:hAnsi="Montserrat"/>
        </w:rPr>
        <w:tab/>
      </w:r>
      <w:r w:rsidR="00647122">
        <w:rPr>
          <w:rFonts w:ascii="Montserrat" w:hAnsi="Montserrat"/>
        </w:rPr>
        <w:tab/>
      </w:r>
      <w:r w:rsidR="004F6CD1">
        <w:rPr>
          <w:rStyle w:val="CCNormal"/>
        </w:rPr>
        <w:t>01/09/2026</w:t>
      </w:r>
    </w:p>
    <w:p w14:paraId="00F350DC" w14:textId="77777777" w:rsidR="000356F5" w:rsidRDefault="000356F5" w:rsidP="00B22284">
      <w:pPr>
        <w:rPr>
          <w:rStyle w:val="CCType"/>
        </w:rPr>
      </w:pPr>
    </w:p>
    <w:p w14:paraId="1171C8F6" w14:textId="34F7D051" w:rsidR="00182716" w:rsidRPr="00B37D8B" w:rsidRDefault="004F6CD1" w:rsidP="009A78D2">
      <w:pPr>
        <w:jc w:val="left"/>
        <w:rPr>
          <w:rStyle w:val="CCType"/>
        </w:rPr>
      </w:pPr>
      <w:r>
        <w:rPr>
          <w:rStyle w:val="CCType"/>
        </w:rPr>
        <w:t>Tribune</w:t>
      </w:r>
    </w:p>
    <w:p w14:paraId="3DBBAA6B" w14:textId="77777777" w:rsidR="004F6CD1" w:rsidRPr="004F6CD1" w:rsidRDefault="004F6CD1" w:rsidP="00647122">
      <w:pPr>
        <w:rPr>
          <w:rFonts w:ascii="Montserrat" w:hAnsi="Montserrat"/>
          <w:b/>
          <w:color w:val="767171" w:themeColor="background2" w:themeShade="80"/>
          <w:sz w:val="36"/>
        </w:rPr>
      </w:pPr>
      <w:r>
        <w:rPr>
          <w:rFonts w:ascii="Montserrat" w:hAnsi="Montserrat"/>
          <w:b/>
          <w:color w:val="767171" w:themeColor="background2" w:themeShade="80"/>
          <w:sz w:val="36"/>
        </w:rPr>
        <w:t>Sous pression, l'Europe fera-t-elle le bon choix stratégique pour son agriculture ?</w:t>
      </w:r>
    </w:p>
    <w:p w14:paraId="78EF9C3B" w14:textId="6F2FD850"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L'activité politique reprend à Bruxelles et il nous apparaît réducteur de dire que le moral de la communauté agricole européenne n'est pas au beau fixe en cette période de rentrée. En effet, un nouvel été marqué par des conditions météorologiques extrêmes, des sécheresses et des feux de forêt </w:t>
      </w:r>
      <w:r w:rsidR="000705C3">
        <w:rPr>
          <w:rFonts w:ascii="Montserrat" w:hAnsi="Montserrat"/>
          <w:color w:val="3B3838" w:themeColor="background2" w:themeShade="40"/>
          <w:sz w:val="20"/>
        </w:rPr>
        <w:t xml:space="preserve">est venu </w:t>
      </w:r>
      <w:r>
        <w:rPr>
          <w:rFonts w:ascii="Montserrat" w:hAnsi="Montserrat"/>
          <w:color w:val="3B3838" w:themeColor="background2" w:themeShade="40"/>
          <w:sz w:val="20"/>
        </w:rPr>
        <w:t>aggrav</w:t>
      </w:r>
      <w:r w:rsidR="000705C3">
        <w:rPr>
          <w:rFonts w:ascii="Montserrat" w:hAnsi="Montserrat"/>
          <w:color w:val="3B3838" w:themeColor="background2" w:themeShade="40"/>
          <w:sz w:val="20"/>
        </w:rPr>
        <w:t>er</w:t>
      </w:r>
      <w:r>
        <w:rPr>
          <w:rFonts w:ascii="Montserrat" w:hAnsi="Montserrat"/>
          <w:color w:val="3B3838" w:themeColor="background2" w:themeShade="40"/>
          <w:sz w:val="20"/>
        </w:rPr>
        <w:t xml:space="preserve"> </w:t>
      </w:r>
      <w:r w:rsidR="000705C3">
        <w:rPr>
          <w:rFonts w:ascii="Montserrat" w:hAnsi="Montserrat"/>
          <w:color w:val="3B3838" w:themeColor="background2" w:themeShade="40"/>
          <w:sz w:val="20"/>
        </w:rPr>
        <w:t>d</w:t>
      </w:r>
      <w:r>
        <w:rPr>
          <w:rFonts w:ascii="Montserrat" w:hAnsi="Montserrat"/>
          <w:color w:val="3B3838" w:themeColor="background2" w:themeShade="40"/>
          <w:sz w:val="20"/>
        </w:rPr>
        <w:t xml:space="preserve">es conditions de marché déjà difficiles dans de nombreux États membres. Les coûts des engrais et de l'énergie restent préoccupants, </w:t>
      </w:r>
      <w:r w:rsidR="00C12F15">
        <w:rPr>
          <w:rFonts w:ascii="Montserrat" w:hAnsi="Montserrat"/>
          <w:color w:val="3B3838" w:themeColor="background2" w:themeShade="40"/>
          <w:sz w:val="20"/>
        </w:rPr>
        <w:t>à un moment</w:t>
      </w:r>
      <w:r>
        <w:rPr>
          <w:rFonts w:ascii="Montserrat" w:hAnsi="Montserrat"/>
          <w:color w:val="3B3838" w:themeColor="background2" w:themeShade="40"/>
          <w:sz w:val="20"/>
        </w:rPr>
        <w:t xml:space="preserve"> où les finances des exploitations agricoles sont déjà à sec. À cela s'ajoutent les guerres, les tensions commerciales, l'intensification de la concurrence mondiale et les chocs climatiques qui assombrissent les perspectives tant à court terme qu'à long terme.</w:t>
      </w:r>
    </w:p>
    <w:p w14:paraId="1B497E65" w14:textId="61BCABCE"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C'est dans ce contexte que</w:t>
      </w:r>
      <w:r w:rsidR="00CC128B">
        <w:rPr>
          <w:rFonts w:ascii="Montserrat" w:hAnsi="Montserrat"/>
          <w:color w:val="3B3838" w:themeColor="background2" w:themeShade="40"/>
          <w:sz w:val="20"/>
        </w:rPr>
        <w:t xml:space="preserve">, </w:t>
      </w:r>
      <w:r w:rsidR="00CC128B">
        <w:rPr>
          <w:rFonts w:ascii="Montserrat" w:hAnsi="Montserrat"/>
          <w:color w:val="3B3838" w:themeColor="background2" w:themeShade="40"/>
          <w:sz w:val="20"/>
        </w:rPr>
        <w:t>au cours des prochains mois</w:t>
      </w:r>
      <w:r w:rsidR="00CC128B">
        <w:rPr>
          <w:rFonts w:ascii="Montserrat" w:hAnsi="Montserrat"/>
          <w:color w:val="3B3838" w:themeColor="background2" w:themeShade="40"/>
          <w:sz w:val="20"/>
        </w:rPr>
        <w:t xml:space="preserve">, </w:t>
      </w:r>
      <w:r>
        <w:rPr>
          <w:rFonts w:ascii="Montserrat" w:hAnsi="Montserrat"/>
          <w:color w:val="3B3838" w:themeColor="background2" w:themeShade="40"/>
          <w:sz w:val="20"/>
        </w:rPr>
        <w:t>certaines des décisions les plus importantes en matière de politique agricole du deuxième mandat d'Ursula von der Leyen seront prises. Pourtant, alors que les responsables européens reprennent le chemin du travail, le processus politique en matière d’agriculture au niveau de l’UE n’a rarement été aussi flou.</w:t>
      </w:r>
    </w:p>
    <w:p w14:paraId="6D829F03" w14:textId="74710AE8"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À une époque où l'alimentation est de plus en plus utilisée comme une arme stratégique et où les grandes puissances mondiales renforcent leur secteur agricole au nom de l'autonomie, de la résilience et de la sécurité alimentaire, l'Europe s’engage clairement dans la direction opposée ; non pas dans sa rhétorique, bien sûr, mais dans ses actions au quotidien. Ces faits sont encore plus difficiles à comprendre au regard de ce qui se fait au</w:t>
      </w:r>
      <w:r w:rsidR="00AC2782">
        <w:rPr>
          <w:rFonts w:ascii="Montserrat" w:hAnsi="Montserrat"/>
          <w:color w:val="3B3838" w:themeColor="background2" w:themeShade="40"/>
          <w:sz w:val="20"/>
        </w:rPr>
        <w:noBreakHyphen/>
      </w:r>
      <w:r>
        <w:rPr>
          <w:rFonts w:ascii="Montserrat" w:hAnsi="Montserrat"/>
          <w:color w:val="3B3838" w:themeColor="background2" w:themeShade="40"/>
          <w:sz w:val="20"/>
        </w:rPr>
        <w:t>delà des frontières de l’Union européenne.</w:t>
      </w:r>
    </w:p>
    <w:p w14:paraId="471B2A61" w14:textId="1F24EF16"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Les États-Unis ont clairement élevé l'agriculture au rang d'enjeu de sécurité nationale, comme en témoigne leur plan d'action national pour la sécurité agricole de 2025. Celui-ci repose sur un principe simple : la sécurité alimentaire est une question de sécurité nationale. La Chine a depuis longtemps mis en œuvre des politiques visant à garder fermement le contrôle de son « bol de riz ». La Russie, qui représente une menace croissante pour la sécurité de l’UE, a également fait de l’autonomie alimentaire en produits de base un objectif stratégique. Peu importe ce qu'elles nous inspirent, le message de ces approches est clair : nous avons basculé dans un nouveau </w:t>
      </w:r>
      <w:r w:rsidR="00AC2782">
        <w:rPr>
          <w:rFonts w:ascii="Montserrat" w:hAnsi="Montserrat"/>
          <w:color w:val="3B3838" w:themeColor="background2" w:themeShade="40"/>
          <w:sz w:val="20"/>
        </w:rPr>
        <w:t>paradigme</w:t>
      </w:r>
      <w:r>
        <w:rPr>
          <w:rFonts w:ascii="Montserrat" w:hAnsi="Montserrat"/>
          <w:color w:val="3B3838" w:themeColor="background2" w:themeShade="40"/>
          <w:sz w:val="20"/>
        </w:rPr>
        <w:t xml:space="preserve"> géopolitique où l'agriculture est de plus en plus perçue comme un atout plutôt que comme un fardeau.</w:t>
      </w:r>
    </w:p>
    <w:p w14:paraId="7835A17A" w14:textId="7C192D21"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Cet automne, deux dossiers</w:t>
      </w:r>
      <w:r w:rsidR="00647122">
        <w:rPr>
          <w:rFonts w:ascii="Montserrat" w:hAnsi="Montserrat"/>
          <w:color w:val="3B3838" w:themeColor="background2" w:themeShade="40"/>
          <w:sz w:val="20"/>
        </w:rPr>
        <w:t xml:space="preserve"> </w:t>
      </w:r>
      <w:r>
        <w:rPr>
          <w:rFonts w:ascii="Montserrat" w:hAnsi="Montserrat"/>
          <w:color w:val="3B3838" w:themeColor="background2" w:themeShade="40"/>
          <w:sz w:val="20"/>
        </w:rPr>
        <w:t xml:space="preserve">influenceront largement la quasi-totalité des autres décisions en matière de politique agricole : les négociations sur la future politique agricole commune (PAC) et sur le prochain cadre financier pluriannuel de l'UE (CFP). Et le moins que l'on puisse dire en examinant attentivement les propositions de la Commission, notamment les coupes budgétaires importantes dans le budget PAC et </w:t>
      </w:r>
      <w:r w:rsidR="00DF6800">
        <w:rPr>
          <w:rFonts w:ascii="Montserrat" w:hAnsi="Montserrat"/>
          <w:color w:val="3B3838" w:themeColor="background2" w:themeShade="40"/>
          <w:sz w:val="20"/>
        </w:rPr>
        <w:t>la fragmentation de cette dernière</w:t>
      </w:r>
      <w:r>
        <w:rPr>
          <w:rFonts w:ascii="Montserrat" w:hAnsi="Montserrat"/>
          <w:color w:val="3B3838" w:themeColor="background2" w:themeShade="40"/>
          <w:sz w:val="20"/>
        </w:rPr>
        <w:t xml:space="preserve"> </w:t>
      </w:r>
      <w:r>
        <w:rPr>
          <w:rFonts w:ascii="Montserrat" w:hAnsi="Montserrat"/>
          <w:color w:val="3B3838" w:themeColor="background2" w:themeShade="40"/>
          <w:sz w:val="20"/>
        </w:rPr>
        <w:lastRenderedPageBreak/>
        <w:t xml:space="preserve">dans les plans de partenariat nationaux et régionaux (PPNR), c'est que l'Europe risque d'affaiblir son </w:t>
      </w:r>
      <w:r w:rsidR="00DF6800">
        <w:rPr>
          <w:rFonts w:ascii="Montserrat" w:hAnsi="Montserrat"/>
          <w:color w:val="3B3838" w:themeColor="background2" w:themeShade="40"/>
          <w:sz w:val="20"/>
        </w:rPr>
        <w:t xml:space="preserve">point fort </w:t>
      </w:r>
      <w:r>
        <w:rPr>
          <w:rFonts w:ascii="Montserrat" w:hAnsi="Montserrat"/>
          <w:color w:val="3B3838" w:themeColor="background2" w:themeShade="40"/>
          <w:sz w:val="20"/>
        </w:rPr>
        <w:t>historique dans le secteur agroalimentaire.</w:t>
      </w:r>
    </w:p>
    <w:p w14:paraId="3C80C825" w14:textId="48CDCC5A"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Une PAC privée de ressources, dépouillée de sa structure stratégique à deux piliers et au caractère commun ébranlé met en péril les objectifs mêmes </w:t>
      </w:r>
      <w:r w:rsidR="002D50DC">
        <w:rPr>
          <w:rFonts w:ascii="Montserrat" w:hAnsi="Montserrat"/>
          <w:color w:val="3B3838" w:themeColor="background2" w:themeShade="40"/>
          <w:sz w:val="20"/>
        </w:rPr>
        <w:t>des</w:t>
      </w:r>
      <w:r>
        <w:rPr>
          <w:rFonts w:ascii="Montserrat" w:hAnsi="Montserrat"/>
          <w:color w:val="3B3838" w:themeColor="background2" w:themeShade="40"/>
          <w:sz w:val="20"/>
        </w:rPr>
        <w:t xml:space="preserve"> traités </w:t>
      </w:r>
      <w:r w:rsidR="002D50DC">
        <w:rPr>
          <w:rFonts w:ascii="Montserrat" w:hAnsi="Montserrat"/>
          <w:color w:val="3B3838" w:themeColor="background2" w:themeShade="40"/>
          <w:sz w:val="20"/>
        </w:rPr>
        <w:t xml:space="preserve">fondateurs </w:t>
      </w:r>
      <w:r>
        <w:rPr>
          <w:rFonts w:ascii="Montserrat" w:hAnsi="Montserrat"/>
          <w:color w:val="3B3838" w:themeColor="background2" w:themeShade="40"/>
          <w:sz w:val="20"/>
        </w:rPr>
        <w:t>de l'UE, à savoir garantir un niveau de vie équitable aux agriculteurs, stabiliser les marchés, assurer l'approvisionnement et permettre aux consommateurs se nourrir à des prix raisonnables.</w:t>
      </w:r>
    </w:p>
    <w:p w14:paraId="338B12FA" w14:textId="32E966A4"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La nouvelle PAC, telle qu'envisagée par la Commission d'Ursula von der Leyen, néglige également le rôle crucial de l'agriculture dans la </w:t>
      </w:r>
      <w:r w:rsidR="000A190A">
        <w:rPr>
          <w:rFonts w:ascii="Montserrat" w:hAnsi="Montserrat"/>
          <w:color w:val="3B3838" w:themeColor="background2" w:themeShade="40"/>
          <w:sz w:val="20"/>
        </w:rPr>
        <w:t>préservation</w:t>
      </w:r>
      <w:r>
        <w:rPr>
          <w:rFonts w:ascii="Montserrat" w:hAnsi="Montserrat"/>
          <w:color w:val="3B3838" w:themeColor="background2" w:themeShade="40"/>
          <w:sz w:val="20"/>
        </w:rPr>
        <w:t xml:space="preserve"> de la cohésion territoriale, le soutien </w:t>
      </w:r>
      <w:r w:rsidR="005B4D2A">
        <w:rPr>
          <w:rFonts w:ascii="Montserrat" w:hAnsi="Montserrat"/>
          <w:color w:val="3B3838" w:themeColor="background2" w:themeShade="40"/>
          <w:sz w:val="20"/>
        </w:rPr>
        <w:t>aux</w:t>
      </w:r>
      <w:r>
        <w:rPr>
          <w:rFonts w:ascii="Montserrat" w:hAnsi="Montserrat"/>
          <w:color w:val="3B3838" w:themeColor="background2" w:themeShade="40"/>
          <w:sz w:val="20"/>
        </w:rPr>
        <w:t xml:space="preserve"> économies rurales et la stimulation de la croissance. Nous, agriculteurs, nous ne sommes pas seulement des producteurs de denrées alimentaires ; nous contribuons à la sécurité et à la résilience de l'Europe dans tous les sens du terme. Les récents incendies, lors desquels nous avons fait front commun avec les pompiers, consacré d'innombrables heures et affronté les flammes avec notre propre matériel, nous ont une nouvelle fois clairement rappelé cette évidence. Nous ne nous contentons pas seulement de nourrir l’Europe</w:t>
      </w:r>
      <w:r w:rsidR="00C2744A">
        <w:rPr>
          <w:rFonts w:ascii="Montserrat" w:hAnsi="Montserrat"/>
          <w:color w:val="3B3838" w:themeColor="background2" w:themeShade="40"/>
          <w:sz w:val="20"/>
        </w:rPr>
        <w:t xml:space="preserve">, </w:t>
      </w:r>
      <w:r>
        <w:rPr>
          <w:rFonts w:ascii="Montserrat" w:hAnsi="Montserrat"/>
          <w:color w:val="3B3838" w:themeColor="background2" w:themeShade="40"/>
          <w:sz w:val="20"/>
        </w:rPr>
        <w:t>nous sommes les gardiens quotidiens de nos paysages ruraux.</w:t>
      </w:r>
    </w:p>
    <w:p w14:paraId="7963CAFF"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Rappelons-nous les propos très opportuns que le commissaire Hansen a tenus devant le Parlement européen en juillet 2025, après sa visite en Finlande : </w:t>
      </w:r>
      <w:r>
        <w:rPr>
          <w:rFonts w:ascii="Montserrat" w:hAnsi="Montserrat"/>
          <w:i/>
          <w:color w:val="3B3838" w:themeColor="background2" w:themeShade="40"/>
          <w:sz w:val="20"/>
        </w:rPr>
        <w:t>« Les agriculteurs contribuent à la ligne de défense de l'UE. »</w:t>
      </w:r>
    </w:p>
    <w:p w14:paraId="046F9219" w14:textId="21102AA9"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L'agriculture constitue également une source de </w:t>
      </w:r>
      <w:r w:rsidR="00010F7C">
        <w:rPr>
          <w:rFonts w:ascii="Montserrat" w:hAnsi="Montserrat"/>
          <w:color w:val="3B3838" w:themeColor="background2" w:themeShade="40"/>
          <w:sz w:val="20"/>
        </w:rPr>
        <w:t>richesse</w:t>
      </w:r>
      <w:r>
        <w:rPr>
          <w:rFonts w:ascii="Montserrat" w:hAnsi="Montserrat"/>
          <w:color w:val="3B3838" w:themeColor="background2" w:themeShade="40"/>
          <w:sz w:val="20"/>
        </w:rPr>
        <w:t xml:space="preserve"> pour l'Europe. Nous sommes à la base d'une chaîne de valeur agroalimentaire qui génère plus de 1.000 milliards d'euros de valeur ajoutée brute. Rappelons ici que l'Union peut compter sur 9,1 millions d'exploitations agricoles qui emploient 8,7 millions de personnes, ainsi que sur plus de 23.000 coopératives agricoles qui emploient plus de 607.000 personnes, constituant ainsi un pilier essentiel de la chaîne de valeur agroalimentaire. Il ne s'agit donc pas d'un secteur secondaire à gérer en marge du programme européen en matière de compétitivité et de croissance ; il fait partie intégrante de cette trajectoire.</w:t>
      </w:r>
    </w:p>
    <w:p w14:paraId="47448D7E" w14:textId="71885FF4"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Au-delà de ces enjeux stratégiques, les propositions de la Commission de juillet 2025 introduisent une nouvelle structure de gouvernance pour l'agriculture qui pourrait poser de gros problèmes. L'intégration accrue des instruments de la PAC dans les plans PNR signifie que les décisions qui étaient traditionnellement prises dans le cadre du </w:t>
      </w:r>
      <w:r w:rsidR="007A5656">
        <w:rPr>
          <w:rFonts w:ascii="Montserrat" w:hAnsi="Montserrat"/>
          <w:color w:val="3B3838" w:themeColor="background2" w:themeShade="40"/>
          <w:sz w:val="20"/>
        </w:rPr>
        <w:t>débat sur la</w:t>
      </w:r>
      <w:r>
        <w:rPr>
          <w:rFonts w:ascii="Montserrat" w:hAnsi="Montserrat"/>
          <w:color w:val="3B3838" w:themeColor="background2" w:themeShade="40"/>
          <w:sz w:val="20"/>
        </w:rPr>
        <w:t xml:space="preserve"> politique agricole s'inscrivent désormais dans le cadre plus large des négociations sur le CFP, où les ministres des Affaires européennes et des Finances exerceront inévitablement une plus grande influence. Nous avons honnêtement du mal à imaginer un avenir où les décisions concernant l'</w:t>
      </w:r>
      <w:r w:rsidR="007A5656">
        <w:rPr>
          <w:rFonts w:ascii="Montserrat" w:hAnsi="Montserrat"/>
          <w:color w:val="3B3838" w:themeColor="background2" w:themeShade="40"/>
          <w:sz w:val="20"/>
        </w:rPr>
        <w:t>o</w:t>
      </w:r>
      <w:r>
        <w:rPr>
          <w:rFonts w:ascii="Montserrat" w:hAnsi="Montserrat"/>
          <w:color w:val="3B3838" w:themeColor="background2" w:themeShade="40"/>
          <w:sz w:val="20"/>
        </w:rPr>
        <w:t>rganisation commune des marchés (OCM), y compris les interventions sectorielles et les instruments agricoles hautement techniques, seraient principalement déterminées par les ministres des Finances et des Affaires européennes.</w:t>
      </w:r>
    </w:p>
    <w:p w14:paraId="2BF4EE65"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De plus, que pourrait-il se passer au stade de la mise en œuvre, lorsque les décisions nationales relatives aux instruments de la PAC feront l'objet d'une concurrence entre les ministères et les régions pour obtenir des financements et exercer une influence ? Le risque est évident. Sous pression politique et contraintes de temps aiguës, les décisions agricoles pourraient être davantage motivées par des compromis politiques, des calculs et arrangements nationaux sans lien avec les besoins de l'agriculture européenne, plutôt que par les réalités économiques et agronomiques du secteur. Jamais la PAC n'a été aussi proche de perdre sa lettre la plus importante : le « C » de « Commune ».</w:t>
      </w:r>
    </w:p>
    <w:p w14:paraId="6E6A6770" w14:textId="45D2FD91"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lastRenderedPageBreak/>
        <w:t xml:space="preserve">Nous tenons à être très clairs sur ce point : cela constituerait une perte non seulement pour les </w:t>
      </w:r>
      <w:r w:rsidR="00F016D7">
        <w:rPr>
          <w:rFonts w:ascii="Montserrat" w:hAnsi="Montserrat"/>
          <w:color w:val="3B3838" w:themeColor="background2" w:themeShade="40"/>
          <w:sz w:val="20"/>
        </w:rPr>
        <w:t xml:space="preserve">coopératives agricoles </w:t>
      </w:r>
      <w:r>
        <w:rPr>
          <w:rFonts w:ascii="Montserrat" w:hAnsi="Montserrat"/>
          <w:color w:val="3B3838" w:themeColor="background2" w:themeShade="40"/>
          <w:sz w:val="20"/>
        </w:rPr>
        <w:t xml:space="preserve">et les </w:t>
      </w:r>
      <w:r w:rsidR="00F016D7">
        <w:rPr>
          <w:rFonts w:ascii="Montserrat" w:hAnsi="Montserrat"/>
          <w:color w:val="3B3838" w:themeColor="background2" w:themeShade="40"/>
          <w:sz w:val="20"/>
        </w:rPr>
        <w:t xml:space="preserve">agriculteurs </w:t>
      </w:r>
      <w:r>
        <w:rPr>
          <w:rFonts w:ascii="Montserrat" w:hAnsi="Montserrat"/>
          <w:color w:val="3B3838" w:themeColor="background2" w:themeShade="40"/>
          <w:sz w:val="20"/>
        </w:rPr>
        <w:t xml:space="preserve">européens, mais aussi pour le projet européen en lui-même et pour son avenir. La PAC finira-t-elle par connaître le même sort que la Communauté européenne du charbon et de l'acier ? Quel message symbolique cela enverrait-il concernant l'un des exemples les plus aboutis </w:t>
      </w:r>
      <w:r w:rsidR="00F016D7">
        <w:rPr>
          <w:rFonts w:ascii="Montserrat" w:hAnsi="Montserrat"/>
          <w:color w:val="3B3838" w:themeColor="background2" w:themeShade="40"/>
          <w:sz w:val="20"/>
        </w:rPr>
        <w:t>du projet européen</w:t>
      </w:r>
      <w:r>
        <w:rPr>
          <w:rFonts w:ascii="Montserrat" w:hAnsi="Montserrat"/>
          <w:color w:val="3B3838" w:themeColor="background2" w:themeShade="40"/>
          <w:sz w:val="20"/>
        </w:rPr>
        <w:t> ? Avant de chercher à étendre l’action communautaire à de nouveaux domaines, il serait sans doute préférable que l’Europe protège et renforce d’abord les politiques dans lesquelles la coopération a déjà fait ses preuves.</w:t>
      </w:r>
    </w:p>
    <w:p w14:paraId="030F3039" w14:textId="3B4D967F"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Les enjeux sont particulièrement importants, car les dirigeants européens accélèrent les négociations sur le cadre financier pluriannuel afin d'anticiper le calendrier électoral décisif de 2027, année où environ 60 % de la population européenne sera </w:t>
      </w:r>
      <w:r w:rsidR="00647122">
        <w:rPr>
          <w:rFonts w:ascii="Montserrat" w:hAnsi="Montserrat"/>
          <w:color w:val="3B3838" w:themeColor="background2" w:themeShade="40"/>
          <w:sz w:val="20"/>
        </w:rPr>
        <w:t>appelée</w:t>
      </w:r>
      <w:r>
        <w:rPr>
          <w:rFonts w:ascii="Montserrat" w:hAnsi="Montserrat"/>
          <w:color w:val="3B3838" w:themeColor="background2" w:themeShade="40"/>
          <w:sz w:val="20"/>
        </w:rPr>
        <w:t xml:space="preserve"> aux urnes. </w:t>
      </w:r>
      <w:r w:rsidR="00F016D7">
        <w:rPr>
          <w:rFonts w:ascii="Montserrat" w:hAnsi="Montserrat"/>
          <w:color w:val="3B3838" w:themeColor="background2" w:themeShade="40"/>
          <w:sz w:val="20"/>
        </w:rPr>
        <w:t>En cette période d’élections</w:t>
      </w:r>
      <w:r>
        <w:rPr>
          <w:rFonts w:ascii="Montserrat" w:hAnsi="Montserrat"/>
          <w:color w:val="3B3838" w:themeColor="background2" w:themeShade="40"/>
          <w:sz w:val="20"/>
        </w:rPr>
        <w:t xml:space="preserve">, il est impossible de ne pas se poser la question suivante : </w:t>
      </w:r>
      <w:r w:rsidR="00EF68E3">
        <w:rPr>
          <w:rFonts w:ascii="Montserrat" w:hAnsi="Montserrat"/>
          <w:color w:val="3B3838" w:themeColor="background2" w:themeShade="40"/>
          <w:sz w:val="20"/>
        </w:rPr>
        <w:t>q</w:t>
      </w:r>
      <w:r>
        <w:rPr>
          <w:rFonts w:ascii="Montserrat" w:hAnsi="Montserrat"/>
          <w:color w:val="3B3838" w:themeColor="background2" w:themeShade="40"/>
          <w:sz w:val="20"/>
        </w:rPr>
        <w:t>uel message politiquement préjudiciable les dirigeants de l'UE envoient-ils aux agriculteurs, aux communautés rurales et, en fin de compte, aux consommateurs ?</w:t>
      </w:r>
    </w:p>
    <w:p w14:paraId="78B9A9FC" w14:textId="1671C408"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Les citoyens nous disent déjà ce qui compte vraiment pour eux. Le dernier Eurobaromètre du Parlement européen révèle que l'inflation, la hausse des prix et le coût de la vie constituent la principale préoccupation de 47 % des Européens, soit six points de plus qu'à l'automne 2025. Cela devrait nous inciter à réagir. Le prix de l'alimentation occupe une place essentielle dans le débat sur le coût de la vie. Ce n'est pas en affaiblissant la capacité de production alimentaire de l'Europe que l'on obtiendra des denrées alimentaires à des prix abordables. </w:t>
      </w:r>
      <w:r w:rsidR="00762C64">
        <w:rPr>
          <w:rFonts w:ascii="Montserrat" w:hAnsi="Montserrat"/>
          <w:color w:val="3B3838" w:themeColor="background2" w:themeShade="40"/>
          <w:sz w:val="20"/>
        </w:rPr>
        <w:t>Au contraire, c</w:t>
      </w:r>
      <w:r>
        <w:rPr>
          <w:rFonts w:ascii="Montserrat" w:hAnsi="Montserrat"/>
          <w:color w:val="3B3838" w:themeColor="background2" w:themeShade="40"/>
          <w:sz w:val="20"/>
        </w:rPr>
        <w:t>ela passe par la volonté de veiller à ce qu'une agriculture européenne compétitive, performante et robuste reste au cœur des priorités de l'Europe.</w:t>
      </w:r>
    </w:p>
    <w:p w14:paraId="05BB19FF"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Nous n’avons pas besoin d’une nouvelle série de solutions à court terme, d’initiatives ponctuelles ou de stratégies de communication de la part de la Commission. Nous avons besoin d'une vision politique convaincante, soutenue par des mesures stables et des dispositifs prévisibles, donnant aux agriculteurs la confiance nécessaire pour investir et innover. Sans cela, nous craignons de ne pas disposer des arguments nécessaires pour continuer à convaincre des jeunes motivés de rejoindre nos rangs et de combler le fossé générationnel auquel nous serons confrontés au cours de la décennie à venir.</w:t>
      </w:r>
    </w:p>
    <w:p w14:paraId="75E0EFF9"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Le prochain cadre financier pluriannuel doit considérer la production alimentaire comme un objectif stratégique intrinsèquement lié à la défense, à la sécurité et à la compétitivité de l'Europe. Le Fonds européen pour la compétitivité aura également un rôle à jouer dans la promotion de l'adoption de l'innovation (c'est-à-dire l'utilisation des données et de l'intelligence artificielle) : il permettra de soutenir le déploiement à grande échelle et les infrastructures nécessaires à la poursuite de la transition et à la résilience du secteur agricole. Mais ces instruments doivent compléter, et non remplacer, une PAC forte et un règlement OCM efficace.</w:t>
      </w:r>
    </w:p>
    <w:p w14:paraId="622EFC4F" w14:textId="51632755" w:rsidR="00B631E7" w:rsidRPr="004F6CD1" w:rsidRDefault="004F6CD1" w:rsidP="004F6CD1">
      <w:pPr>
        <w:rPr>
          <w:rStyle w:val="CCNormal"/>
          <w:sz w:val="20"/>
          <w:szCs w:val="20"/>
        </w:rPr>
      </w:pPr>
      <w:r>
        <w:rPr>
          <w:rFonts w:ascii="Montserrat" w:hAnsi="Montserrat"/>
          <w:color w:val="3B3838" w:themeColor="background2" w:themeShade="40"/>
          <w:sz w:val="20"/>
        </w:rPr>
        <w:t>En octobre, au moment où les dirigeants européens se réuniront pour un Conseil européen crucial, les agriculteurs se retrouveront à Stockholm pour le Congrès des agriculteurs européens afin de faire le point sur la situation et de définir les orientations des actions à venir. Nous aborderons ce moment décisif avec détermination, car nous sommes conscients de ce qui est en jeu. Pas d'Europe stable sans un secteur agricole solide. Et pas d'agriculture européenne solide sans politiques européennes adaptées à leurs objectifs.</w:t>
      </w:r>
    </w:p>
    <w:p w14:paraId="35D789D8" w14:textId="77777777" w:rsidR="004F6CD1" w:rsidRPr="004F6CD1" w:rsidRDefault="004F6CD1" w:rsidP="004F6CD1">
      <w:pPr>
        <w:jc w:val="right"/>
        <w:rPr>
          <w:rFonts w:ascii="Montserrat" w:hAnsi="Montserrat"/>
          <w:color w:val="7F7F7F" w:themeColor="text1" w:themeTint="80"/>
        </w:rPr>
      </w:pPr>
      <w:r>
        <w:rPr>
          <w:rFonts w:ascii="Montserrat" w:hAnsi="Montserrat"/>
          <w:b/>
          <w:color w:val="7F7F7F" w:themeColor="text1" w:themeTint="80"/>
        </w:rPr>
        <w:t>Massimiliano Giansanti, Président du Copa</w:t>
      </w:r>
    </w:p>
    <w:p w14:paraId="372231A6" w14:textId="5EBDC319" w:rsidR="004F6CD1" w:rsidRPr="004F6CD1" w:rsidRDefault="004F6CD1" w:rsidP="004F6CD1">
      <w:pPr>
        <w:jc w:val="right"/>
        <w:rPr>
          <w:rFonts w:ascii="Montserrat" w:hAnsi="Montserrat"/>
          <w:color w:val="7F7F7F" w:themeColor="text1" w:themeTint="80"/>
        </w:rPr>
      </w:pPr>
      <w:r>
        <w:rPr>
          <w:rFonts w:ascii="Montserrat" w:hAnsi="Montserrat"/>
          <w:b/>
          <w:color w:val="7F7F7F" w:themeColor="text1" w:themeTint="80"/>
        </w:rPr>
        <w:lastRenderedPageBreak/>
        <w:t>Lennart Nilsson, Président de la Cogeca</w:t>
      </w:r>
    </w:p>
    <w:p w14:paraId="6C033F72" w14:textId="77777777" w:rsidR="00182716" w:rsidRPr="00135F43" w:rsidRDefault="00E8250C" w:rsidP="00244682">
      <w:sdt>
        <w:sdtPr>
          <w:rPr>
            <w:rFonts w:ascii="Montserrat" w:hAnsi="Montserrat"/>
            <w:b/>
            <w:bCs/>
            <w:color w:val="697331"/>
            <w:sz w:val="28"/>
            <w:szCs w:val="28"/>
          </w:rPr>
          <w:id w:val="636535682"/>
          <w:placeholder>
            <w:docPart w:val="36E22A7436754A1E806D6F53AEC1966B"/>
          </w:placeholder>
          <w:temporary/>
        </w:sdtPr>
        <w:sdtEndPr/>
        <w:sdtContent>
          <w:r w:rsidR="006A79AB">
            <w:rPr>
              <w:rFonts w:ascii="Montserrat" w:hAnsi="Montserrat"/>
              <w:b/>
              <w:color w:val="697331"/>
              <w:sz w:val="28"/>
            </w:rPr>
            <w:t>-FIN-</w:t>
          </w:r>
        </w:sdtContent>
      </w:sdt>
      <w:r w:rsidR="006A79AB">
        <w:rPr>
          <w:rFonts w:ascii="Montserrat" w:hAnsi="Montserrat"/>
          <w:b/>
          <w:color w:val="697331"/>
          <w:sz w:val="28"/>
        </w:rPr>
        <w:t xml:space="preserve"> </w:t>
      </w:r>
    </w:p>
    <w:p w14:paraId="53A5D7B9" w14:textId="77777777" w:rsidR="000356F5" w:rsidRPr="000356F5" w:rsidRDefault="000356F5" w:rsidP="00DF6217">
      <w:pPr>
        <w:pStyle w:val="CCDocBody"/>
        <w:rPr>
          <w:rFonts w:ascii="Montserrat" w:hAnsi="Montserrat"/>
          <w:color w:val="3A3838"/>
          <w:sz w:val="20"/>
          <w:szCs w:val="20"/>
        </w:rPr>
      </w:pPr>
      <w:r>
        <w:rPr>
          <w:rFonts w:ascii="Montserrat" w:hAnsi="Montserrat"/>
          <w:color w:val="3A3838"/>
          <w:sz w:val="20"/>
        </w:rPr>
        <w:t xml:space="preserve">La version originale anglaise du présent communiqué de presse et les traductions en allemand, espagnol, italien, polonais et roumain sont disponibles sur le site du Copa-Cogeca. </w:t>
      </w:r>
    </w:p>
    <w:p w14:paraId="1C51AFD9" w14:textId="7583A807" w:rsidR="00E6727E" w:rsidRPr="00135F43" w:rsidRDefault="00E6727E" w:rsidP="00DF6217">
      <w:pPr>
        <w:pStyle w:val="CCDocBody"/>
        <w:rPr>
          <w:sz w:val="20"/>
          <w:szCs w:val="20"/>
        </w:rPr>
      </w:pPr>
      <w:r>
        <w:rPr>
          <w:rStyle w:val="CCNormal"/>
          <w:sz w:val="20"/>
        </w:rPr>
        <w:t xml:space="preserve">À propos - Le Copa et la Cogeca sont la voix unie des agriculteurs et de leurs coopératives dans l’Union européenne. Ensemble, nous œuvrons pour une agriculture européenne durable, innovante et compétitive, qui puisse garantir la sécurité alimentaire aux 500 millions de citoyens européens. &gt;&gt;&gt; Pour plus d’informations </w:t>
      </w:r>
      <w:hyperlink r:id="rId11" w:history="1">
        <w:r>
          <w:rPr>
            <w:rStyle w:val="Lienhypertexte"/>
            <w:rFonts w:ascii="Montserrat" w:hAnsi="Montserrat"/>
            <w:sz w:val="20"/>
          </w:rPr>
          <w:t>www.copa-cogeca.eu</w:t>
        </w:r>
      </w:hyperlink>
    </w:p>
    <w:sdt>
      <w:sdtPr>
        <w:rPr>
          <w:rFonts w:ascii="Montserrat Light" w:eastAsiaTheme="minorHAnsi" w:hAnsi="Montserrat Light" w:cstheme="minorBidi"/>
          <w:color w:val="58595B"/>
          <w:sz w:val="22"/>
          <w:szCs w:val="22"/>
        </w:rPr>
        <w:id w:val="-926261863"/>
        <w:lock w:val="sdtContentLocked"/>
        <w:placeholder>
          <w:docPart w:val="36E22A7436754A1E806D6F53AEC1966B"/>
        </w:placeholder>
      </w:sdtPr>
      <w:sdtEndPr/>
      <w:sdtContent>
        <w:p w14:paraId="04D3D0E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28E308A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p w14:paraId="35C7C73E" w14:textId="78398F66" w:rsidR="00817677" w:rsidRPr="0061772C" w:rsidRDefault="00244682" w:rsidP="0061772C">
      <w:pPr>
        <w:pStyle w:val="NormalWeb"/>
        <w:shd w:val="clear" w:color="auto" w:fill="FFFFFF"/>
        <w:spacing w:before="0" w:beforeAutospacing="0"/>
        <w:rPr>
          <w:rFonts w:ascii="Montserrat" w:eastAsiaTheme="minorHAnsi" w:hAnsi="Montserrat"/>
          <w:sz w:val="20"/>
          <w:szCs w:val="20"/>
        </w:rPr>
      </w:pPr>
      <w:r>
        <w:rPr>
          <w:rStyle w:val="CCNormal"/>
          <w:sz w:val="20"/>
        </w:rPr>
        <w:t xml:space="preserve">Pour plus d'informations : </w:t>
      </w:r>
      <w:r>
        <w:rPr>
          <w:rStyle w:val="CCNormal"/>
          <w:color w:val="6B7213"/>
          <w:sz w:val="20"/>
          <w:u w:val="single"/>
        </w:rPr>
        <w:t>cc.press-service@copa-cogeca.eu</w:t>
      </w:r>
    </w:p>
    <w:sectPr w:rsidR="00817677" w:rsidRPr="0061772C" w:rsidSect="00107120">
      <w:headerReference w:type="default" r:id="rId12"/>
      <w:footerReference w:type="default" r:id="rId13"/>
      <w:headerReference w:type="first" r:id="rId14"/>
      <w:footerReference w:type="first" r:id="rId15"/>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1C3FB" w14:textId="77777777" w:rsidR="00E8250C" w:rsidRPr="00716D7C" w:rsidRDefault="00E8250C" w:rsidP="00716D7C">
      <w:r>
        <w:separator/>
      </w:r>
    </w:p>
  </w:endnote>
  <w:endnote w:type="continuationSeparator" w:id="0">
    <w:p w14:paraId="6003CB77" w14:textId="77777777" w:rsidR="00E8250C" w:rsidRPr="00716D7C" w:rsidRDefault="00E8250C"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7D13B1-DB88-400B-BD69-D07B6BE0E69F}"/>
    <w:embedBold r:id="rId2" w:fontKey="{63BFE1BD-A68F-4027-B0CF-DD133BB7F560}"/>
    <w:embedItalic r:id="rId3" w:fontKey="{EA3E4E63-A5A6-4788-986C-F0FAC321F143}"/>
  </w:font>
  <w:font w:name="Montserrat Light">
    <w:charset w:val="00"/>
    <w:family w:val="auto"/>
    <w:pitch w:val="variable"/>
    <w:sig w:usb0="2000020F" w:usb1="00000003" w:usb2="00000000" w:usb3="00000000" w:csb0="00000197" w:csb1="00000000"/>
    <w:embedRegular r:id="rId4" w:fontKey="{4E77CCB5-2221-4D41-B028-B9A288B4BA2C}"/>
  </w:font>
  <w:font w:name="Calibri Light">
    <w:panose1 w:val="020F0302020204030204"/>
    <w:charset w:val="00"/>
    <w:family w:val="swiss"/>
    <w:pitch w:val="variable"/>
    <w:sig w:usb0="E4002EFF" w:usb1="C200247B" w:usb2="00000009" w:usb3="00000000" w:csb0="000001FF" w:csb1="00000000"/>
    <w:embedRegular r:id="rId5" w:fontKey="{1B771118-787D-4D84-A8C5-40FC02704D58}"/>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439BA6A5-9ABB-49E2-A27B-2DB388C6978D}"/>
    <w:embedBold r:id="rId7" w:fontKey="{F9159439-6ABC-47DA-86F4-B70A5EAC00FD}"/>
    <w:embedItalic r:id="rId8" w:fontKey="{8246E54E-EF57-4779-A36A-83704AA53905}"/>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99E8"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Agriculteurs et coopératives agricoles d'Europe </w:t>
    </w:r>
  </w:p>
  <w:p w14:paraId="51701B11" w14:textId="337B139E" w:rsidR="00107120" w:rsidRPr="005067BB" w:rsidRDefault="00107120" w:rsidP="00107120">
    <w:pPr>
      <w:spacing w:after="0"/>
      <w:ind w:left="1134"/>
      <w:rPr>
        <w:rFonts w:ascii="Montserrat" w:hAnsi="Montserrat"/>
        <w:sz w:val="16"/>
        <w:szCs w:val="16"/>
      </w:rPr>
    </w:pPr>
    <w:r>
      <w:rPr>
        <w:rFonts w:ascii="Montserrat" w:hAnsi="Montserrat"/>
        <w:sz w:val="16"/>
      </w:rPr>
      <w:t>61, Rue de Trèves | B - 1040 Bruxelles | www.copa-cogeca.eu</w:t>
    </w:r>
    <w:r w:rsidR="00647122">
      <w:rPr>
        <w:rFonts w:ascii="Montserrat" w:hAnsi="Montserrat"/>
        <w:sz w:val="16"/>
      </w:rPr>
      <w:t xml:space="preserve"> </w:t>
    </w:r>
  </w:p>
  <w:p w14:paraId="54CB4772" w14:textId="77777777" w:rsidR="00107120" w:rsidRPr="008403E3" w:rsidRDefault="00107120" w:rsidP="00107120">
    <w:pPr>
      <w:spacing w:after="0"/>
      <w:ind w:left="1134"/>
      <w:rPr>
        <w:rFonts w:ascii="Montserrat" w:hAnsi="Montserrat"/>
        <w:sz w:val="16"/>
        <w:szCs w:val="16"/>
      </w:rPr>
    </w:pPr>
    <w:r>
      <w:rPr>
        <w:rFonts w:ascii="Montserrat" w:hAnsi="Montserrat"/>
        <w:sz w:val="16"/>
      </w:rPr>
      <w:t>Numéro au Registre européen de transparence | Copa 44856881231-49 | Cogeca 09586631237-74</w:t>
    </w:r>
  </w:p>
  <w:p w14:paraId="1580CC50" w14:textId="77777777" w:rsidR="00107120" w:rsidRDefault="001071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BA3"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Agriculteurs et coopératives agricoles d'Europe </w:t>
    </w:r>
  </w:p>
  <w:p w14:paraId="4B07EDD1" w14:textId="5A21DF6A" w:rsidR="00107120" w:rsidRPr="005067BB" w:rsidRDefault="00107120" w:rsidP="00107120">
    <w:pPr>
      <w:spacing w:after="0"/>
      <w:ind w:left="1134"/>
      <w:rPr>
        <w:rFonts w:ascii="Montserrat" w:hAnsi="Montserrat"/>
        <w:sz w:val="16"/>
        <w:szCs w:val="16"/>
      </w:rPr>
    </w:pPr>
    <w:r>
      <w:rPr>
        <w:rFonts w:ascii="Montserrat" w:hAnsi="Montserrat"/>
        <w:sz w:val="16"/>
      </w:rPr>
      <w:t>61, Rue de Trèves | B - 1040 Bruxelles | www.copa-cogeca.eu</w:t>
    </w:r>
    <w:r w:rsidR="00647122">
      <w:rPr>
        <w:rFonts w:ascii="Montserrat" w:hAnsi="Montserrat"/>
        <w:sz w:val="16"/>
      </w:rPr>
      <w:t xml:space="preserve"> </w:t>
    </w:r>
  </w:p>
  <w:p w14:paraId="0A3B4E36" w14:textId="77777777" w:rsidR="00107120" w:rsidRPr="008403E3" w:rsidRDefault="00107120" w:rsidP="00107120">
    <w:pPr>
      <w:spacing w:after="0"/>
      <w:ind w:left="1134"/>
      <w:rPr>
        <w:rFonts w:ascii="Montserrat" w:hAnsi="Montserrat"/>
        <w:sz w:val="16"/>
        <w:szCs w:val="16"/>
      </w:rPr>
    </w:pPr>
    <w:r>
      <w:rPr>
        <w:rFonts w:ascii="Montserrat" w:hAnsi="Montserrat"/>
        <w:sz w:val="16"/>
      </w:rPr>
      <w:t>Numéro au Registre européen de transparence | Copa 44856881231-49 | Cogeca 09586631237-74</w:t>
    </w:r>
  </w:p>
  <w:p w14:paraId="20341495" w14:textId="77777777" w:rsidR="00135F43" w:rsidRDefault="00135F4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700DE" w14:textId="77777777" w:rsidR="00E8250C" w:rsidRPr="00716D7C" w:rsidRDefault="00E8250C" w:rsidP="00716D7C">
      <w:r>
        <w:separator/>
      </w:r>
    </w:p>
  </w:footnote>
  <w:footnote w:type="continuationSeparator" w:id="0">
    <w:p w14:paraId="6D530B95" w14:textId="77777777" w:rsidR="00E8250C" w:rsidRPr="00716D7C" w:rsidRDefault="00E8250C"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CE1C"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4D31768F" w14:textId="77777777" w:rsidR="00135F43" w:rsidRDefault="00135F43" w:rsidP="00135F43">
        <w:pPr>
          <w:jc w:val="left"/>
          <w:rPr>
            <w:noProof/>
          </w:rPr>
        </w:pPr>
        <w:r>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7D9E27BC" w14:textId="77777777" w:rsidR="00135F43" w:rsidRDefault="00135F4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D1"/>
    <w:rsid w:val="00006AB9"/>
    <w:rsid w:val="00010F7C"/>
    <w:rsid w:val="000356F5"/>
    <w:rsid w:val="000705C3"/>
    <w:rsid w:val="00071DB6"/>
    <w:rsid w:val="000A190A"/>
    <w:rsid w:val="000B1D84"/>
    <w:rsid w:val="000D2B3B"/>
    <w:rsid w:val="000D34BA"/>
    <w:rsid w:val="000E5AED"/>
    <w:rsid w:val="00100850"/>
    <w:rsid w:val="00107120"/>
    <w:rsid w:val="00117877"/>
    <w:rsid w:val="00121DB3"/>
    <w:rsid w:val="0013357E"/>
    <w:rsid w:val="00135F43"/>
    <w:rsid w:val="00146C88"/>
    <w:rsid w:val="0015598F"/>
    <w:rsid w:val="001648FF"/>
    <w:rsid w:val="00165DC9"/>
    <w:rsid w:val="00171312"/>
    <w:rsid w:val="00175F2B"/>
    <w:rsid w:val="001765DD"/>
    <w:rsid w:val="00182716"/>
    <w:rsid w:val="00187A93"/>
    <w:rsid w:val="001950AD"/>
    <w:rsid w:val="001A0D21"/>
    <w:rsid w:val="001E1ED9"/>
    <w:rsid w:val="001F1C55"/>
    <w:rsid w:val="00215D96"/>
    <w:rsid w:val="00226FEE"/>
    <w:rsid w:val="00235A0D"/>
    <w:rsid w:val="00242DB9"/>
    <w:rsid w:val="00244682"/>
    <w:rsid w:val="002562CB"/>
    <w:rsid w:val="002606E9"/>
    <w:rsid w:val="00272E26"/>
    <w:rsid w:val="002B0FFD"/>
    <w:rsid w:val="002D4EA5"/>
    <w:rsid w:val="002D50DC"/>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1D89"/>
    <w:rsid w:val="003F44AB"/>
    <w:rsid w:val="00426604"/>
    <w:rsid w:val="00445C22"/>
    <w:rsid w:val="00451D99"/>
    <w:rsid w:val="00467BDE"/>
    <w:rsid w:val="00486A5D"/>
    <w:rsid w:val="004C39C3"/>
    <w:rsid w:val="004D1FA4"/>
    <w:rsid w:val="004F6CD1"/>
    <w:rsid w:val="004F6EE0"/>
    <w:rsid w:val="005067BB"/>
    <w:rsid w:val="005202ED"/>
    <w:rsid w:val="00553C59"/>
    <w:rsid w:val="0056456D"/>
    <w:rsid w:val="00590988"/>
    <w:rsid w:val="00592F70"/>
    <w:rsid w:val="005B4D2A"/>
    <w:rsid w:val="005E5961"/>
    <w:rsid w:val="00600ED3"/>
    <w:rsid w:val="00607BB2"/>
    <w:rsid w:val="00614B2D"/>
    <w:rsid w:val="0061772C"/>
    <w:rsid w:val="006255CA"/>
    <w:rsid w:val="00641635"/>
    <w:rsid w:val="00647122"/>
    <w:rsid w:val="006662C9"/>
    <w:rsid w:val="00671B34"/>
    <w:rsid w:val="006772EB"/>
    <w:rsid w:val="00681DA3"/>
    <w:rsid w:val="006A4601"/>
    <w:rsid w:val="006A79AB"/>
    <w:rsid w:val="006B673C"/>
    <w:rsid w:val="006B74EB"/>
    <w:rsid w:val="006C0583"/>
    <w:rsid w:val="006C4A88"/>
    <w:rsid w:val="006D70A8"/>
    <w:rsid w:val="006E59B7"/>
    <w:rsid w:val="006F2C0A"/>
    <w:rsid w:val="006F5CEF"/>
    <w:rsid w:val="00716D7C"/>
    <w:rsid w:val="007306AC"/>
    <w:rsid w:val="00734E47"/>
    <w:rsid w:val="00755664"/>
    <w:rsid w:val="007556F3"/>
    <w:rsid w:val="00756DEA"/>
    <w:rsid w:val="00762C64"/>
    <w:rsid w:val="00767438"/>
    <w:rsid w:val="00777A2D"/>
    <w:rsid w:val="0078288C"/>
    <w:rsid w:val="007844E9"/>
    <w:rsid w:val="007915EA"/>
    <w:rsid w:val="007A5656"/>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651F6"/>
    <w:rsid w:val="00990273"/>
    <w:rsid w:val="009A3999"/>
    <w:rsid w:val="009A78D2"/>
    <w:rsid w:val="009D163E"/>
    <w:rsid w:val="009D40C9"/>
    <w:rsid w:val="009F1163"/>
    <w:rsid w:val="00A1126D"/>
    <w:rsid w:val="00A20342"/>
    <w:rsid w:val="00A31B3C"/>
    <w:rsid w:val="00A63781"/>
    <w:rsid w:val="00A9463E"/>
    <w:rsid w:val="00AC2782"/>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E0D6B"/>
    <w:rsid w:val="00BE22AC"/>
    <w:rsid w:val="00C00B16"/>
    <w:rsid w:val="00C12F15"/>
    <w:rsid w:val="00C20330"/>
    <w:rsid w:val="00C26FE0"/>
    <w:rsid w:val="00C2744A"/>
    <w:rsid w:val="00C435EA"/>
    <w:rsid w:val="00C51DE9"/>
    <w:rsid w:val="00C5271A"/>
    <w:rsid w:val="00C544BA"/>
    <w:rsid w:val="00CA4479"/>
    <w:rsid w:val="00CA4F69"/>
    <w:rsid w:val="00CC128B"/>
    <w:rsid w:val="00CC4394"/>
    <w:rsid w:val="00CE19D7"/>
    <w:rsid w:val="00CF4B85"/>
    <w:rsid w:val="00CF7B23"/>
    <w:rsid w:val="00D10189"/>
    <w:rsid w:val="00D1533B"/>
    <w:rsid w:val="00D15F84"/>
    <w:rsid w:val="00D239FF"/>
    <w:rsid w:val="00D407DE"/>
    <w:rsid w:val="00D66617"/>
    <w:rsid w:val="00D72C78"/>
    <w:rsid w:val="00D9547E"/>
    <w:rsid w:val="00DE77B5"/>
    <w:rsid w:val="00DF6217"/>
    <w:rsid w:val="00DF6800"/>
    <w:rsid w:val="00E05511"/>
    <w:rsid w:val="00E2211C"/>
    <w:rsid w:val="00E510B1"/>
    <w:rsid w:val="00E618D6"/>
    <w:rsid w:val="00E6727E"/>
    <w:rsid w:val="00E72924"/>
    <w:rsid w:val="00E8250C"/>
    <w:rsid w:val="00E9016C"/>
    <w:rsid w:val="00E92FBE"/>
    <w:rsid w:val="00E95D41"/>
    <w:rsid w:val="00EA132D"/>
    <w:rsid w:val="00EF68E3"/>
    <w:rsid w:val="00F016D7"/>
    <w:rsid w:val="00F145A0"/>
    <w:rsid w:val="00F25A49"/>
    <w:rsid w:val="00F4320D"/>
    <w:rsid w:val="00F51866"/>
    <w:rsid w:val="00F52C33"/>
    <w:rsid w:val="00F53D64"/>
    <w:rsid w:val="00F63519"/>
    <w:rsid w:val="00F96720"/>
    <w:rsid w:val="00FC7250"/>
    <w:rsid w:val="00FE486D"/>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7DACB"/>
  <w15:chartTrackingRefBased/>
  <w15:docId w15:val="{1133CDAC-492E-468A-99C1-C47E1B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Titre1">
    <w:name w:val="heading 1"/>
    <w:basedOn w:val="Normal"/>
    <w:next w:val="Normal"/>
    <w:link w:val="Titre1C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link w:val="NormalWebC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rPr>
  </w:style>
  <w:style w:type="character" w:styleId="Lienhypertexte">
    <w:name w:val="Hyperlink"/>
    <w:basedOn w:val="Policepardfaut"/>
    <w:uiPriority w:val="99"/>
    <w:unhideWhenUsed/>
    <w:qFormat/>
    <w:rsid w:val="00DF6217"/>
    <w:rPr>
      <w:color w:val="6B7213"/>
      <w:u w:val="single"/>
    </w:rPr>
  </w:style>
  <w:style w:type="character" w:styleId="Mentionnonrsolue">
    <w:name w:val="Unresolved Mention"/>
    <w:basedOn w:val="Policepardfaut"/>
    <w:uiPriority w:val="99"/>
    <w:semiHidden/>
    <w:unhideWhenUsed/>
    <w:locked/>
    <w:rsid w:val="00903528"/>
    <w:rPr>
      <w:color w:val="605E5C"/>
      <w:shd w:val="clear" w:color="auto" w:fill="E1DFDD"/>
    </w:rPr>
  </w:style>
  <w:style w:type="paragraph" w:styleId="En-tte">
    <w:name w:val="header"/>
    <w:basedOn w:val="Normal"/>
    <w:link w:val="En-tteCar"/>
    <w:uiPriority w:val="99"/>
    <w:unhideWhenUsed/>
    <w:locked/>
    <w:rsid w:val="00006AB9"/>
    <w:pPr>
      <w:tabs>
        <w:tab w:val="center" w:pos="4513"/>
        <w:tab w:val="right" w:pos="9026"/>
      </w:tabs>
      <w:spacing w:after="0" w:line="240" w:lineRule="auto"/>
    </w:pPr>
  </w:style>
  <w:style w:type="character" w:customStyle="1" w:styleId="En-tteCar">
    <w:name w:val="En-tête Car"/>
    <w:basedOn w:val="Policepardfaut"/>
    <w:link w:val="En-tte"/>
    <w:uiPriority w:val="99"/>
    <w:rsid w:val="00006AB9"/>
  </w:style>
  <w:style w:type="paragraph" w:styleId="Pieddepage">
    <w:name w:val="footer"/>
    <w:basedOn w:val="Normal"/>
    <w:link w:val="PieddepageCar"/>
    <w:uiPriority w:val="99"/>
    <w:unhideWhenUsed/>
    <w:locked/>
    <w:rsid w:val="00006AB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06AB9"/>
  </w:style>
  <w:style w:type="table" w:styleId="Grilledutableau">
    <w:name w:val="Table Grid"/>
    <w:basedOn w:val="Tableau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Titre1Car">
    <w:name w:val="Titre 1 Car"/>
    <w:basedOn w:val="Policepardfaut"/>
    <w:link w:val="Titre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ar">
    <w:name w:val="Normal (Web) Car"/>
    <w:basedOn w:val="Policepardfaut"/>
    <w:link w:val="NormalWeb"/>
    <w:uiPriority w:val="99"/>
    <w:rsid w:val="00467BDE"/>
    <w:rPr>
      <w:rFonts w:ascii="Times New Roman" w:eastAsia="Times New Roman" w:hAnsi="Times New Roman" w:cs="Times New Roman"/>
      <w:sz w:val="24"/>
      <w:szCs w:val="24"/>
      <w:lang/>
    </w:rPr>
  </w:style>
  <w:style w:type="character" w:customStyle="1" w:styleId="CCSubtitle">
    <w:name w:val="CC Subtitle"/>
    <w:basedOn w:val="Policepardfaut"/>
    <w:uiPriority w:val="1"/>
    <w:qFormat/>
    <w:rsid w:val="009D163E"/>
    <w:rPr>
      <w:rFonts w:ascii="Montserrat" w:hAnsi="Montserrat"/>
      <w:b/>
      <w:color w:val="7F7F7F" w:themeColor="text1" w:themeTint="80"/>
      <w:sz w:val="22"/>
    </w:rPr>
  </w:style>
  <w:style w:type="paragraph" w:styleId="Sansinterligne">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ar"/>
    <w:link w:val="CCDocBody"/>
    <w:rsid w:val="002E02A5"/>
    <w:rPr>
      <w:rFonts w:ascii="Montserrat Light" w:eastAsia="Times New Roman" w:hAnsi="Montserrat Light" w:cs="Times New Roman"/>
      <w:color w:val="595959" w:themeColor="text1" w:themeTint="A6"/>
      <w:sz w:val="24"/>
      <w:szCs w:val="24"/>
      <w:shd w:val="clear" w:color="auto" w:fill="FFFFFF"/>
      <w:lang/>
    </w:rPr>
  </w:style>
  <w:style w:type="character" w:customStyle="1" w:styleId="CCNoSpacing">
    <w:name w:val="CC No Spacing"/>
    <w:basedOn w:val="Policepardfau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E22A7436754A1E806D6F53AEC1966B"/>
        <w:category>
          <w:name w:val="General"/>
          <w:gallery w:val="placeholder"/>
        </w:category>
        <w:types>
          <w:type w:val="bbPlcHdr"/>
        </w:types>
        <w:behaviors>
          <w:behavior w:val="content"/>
        </w:behaviors>
        <w:guid w:val="{36A34884-E1CE-4825-9274-CB43BEAC5D71}"/>
      </w:docPartPr>
      <w:docPartBody>
        <w:p w:rsidR="00AA7FA1" w:rsidRDefault="00AA7FA1">
          <w:pPr>
            <w:pStyle w:val="36E22A7436754A1E806D6F53AEC1966B"/>
          </w:pPr>
          <w:r w:rsidRPr="007E5A09">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A1"/>
    <w:rsid w:val="00426604"/>
    <w:rsid w:val="00932BEC"/>
    <w:rsid w:val="00AA7FA1"/>
    <w:rsid w:val="00C00B1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36E22A7436754A1E806D6F53AEC1966B">
    <w:name w:val="36E22A7436754A1E806D6F53AEC196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77</TotalTime>
  <Pages>4</Pages>
  <Words>1706</Words>
  <Characters>9389</Characters>
  <Application>Microsoft Office Word</Application>
  <DocSecurity>0</DocSecurity>
  <Lines>78</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Laurie Boland</cp:lastModifiedBy>
  <cp:revision>18</cp:revision>
  <cp:lastPrinted>2026-09-09T08:05:00Z</cp:lastPrinted>
  <dcterms:created xsi:type="dcterms:W3CDTF">2026-09-01T09:40:00Z</dcterms:created>
  <dcterms:modified xsi:type="dcterms:W3CDTF">2026-09-09T09:13:00Z</dcterms:modified>
</cp:coreProperties>
</file>

<file path=docProps/custom.xml><?xml version="1.0" encoding="utf-8"?>
<op:Properties xmlns:vt="http://schemas.openxmlformats.org/officeDocument/2006/docPropsVTypes" xmlns:op="http://schemas.openxmlformats.org/officeDocument/2006/custom-properties"/>
</file>