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DB0D2" w14:textId="76C19E22" w:rsidR="000356F5" w:rsidRPr="000356F5" w:rsidRDefault="00767438" w:rsidP="000356F5">
      <w:pPr>
        <w:spacing w:after="0"/>
        <w:rPr>
          <w:rFonts w:ascii="Montserrat" w:hAnsi="Montserrat"/>
        </w:rPr>
      </w:pPr>
      <w:r>
        <w:rPr>
          <w:rStyle w:val="CCNormal"/>
        </w:rPr>
        <w:t>Ref.:</w:t>
      </w:r>
      <w:r>
        <w:t xml:space="preserve"> </w:t>
      </w:r>
      <w:r w:rsidR="00380165">
        <w:rPr>
          <w:rFonts w:ascii="Montserrat" w:hAnsi="Montserrat"/>
        </w:rPr>
        <w:fldChar w:fldCharType="begin"/>
      </w:r>
      <w:r w:rsidR="00F145A0" w:rsidRPr="00F145A0">
        <w:rPr>
          <w:rFonts w:ascii="Montserrat" w:hAnsi="Montserrat"/>
        </w:rPr>
        <w:instrText>DOCPROPERTY PWReference</w:instrText>
      </w:r>
      <w:r w:rsidR="00380165">
        <w:rPr>
          <w:rFonts w:ascii="Montserrat" w:hAnsi="Montserrat"/>
        </w:rPr>
        <w:fldChar w:fldCharType="separate"/>
      </w:r>
      <w:r w:rsidR="001673C5">
        <w:rPr>
          <w:rFonts w:ascii="Montserrat" w:hAnsi="Montserrat"/>
        </w:rPr>
        <w:t>COMM(26)01908[1]</w:t>
      </w:r>
      <w:r w:rsidR="00380165">
        <w:rPr>
          <w:rFonts w:ascii="Montserrat" w:hAnsi="Montserrat"/>
        </w:rPr>
        <w:fldChar w:fldCharType="end"/>
      </w:r>
      <w:r>
        <w:rPr>
          <w:rFonts w:ascii="Montserrat" w:hAnsi="Montserrat"/>
        </w:rPr>
        <w:tab/>
      </w:r>
      <w:r>
        <w:rPr>
          <w:rFonts w:ascii="Montserrat" w:hAnsi="Montserrat"/>
        </w:rPr>
        <w:tab/>
      </w:r>
      <w:r>
        <w:rPr>
          <w:rFonts w:ascii="Montserrat" w:hAnsi="Montserrat"/>
        </w:rPr>
        <w:tab/>
      </w:r>
    </w:p>
    <w:p w14:paraId="3655498C" w14:textId="4894348E" w:rsidR="00767438" w:rsidRPr="00734E47" w:rsidRDefault="004F6CD1" w:rsidP="000356F5">
      <w:pPr>
        <w:spacing w:after="0"/>
      </w:pPr>
      <w:r>
        <w:rPr>
          <w:rStyle w:val="CCNormal"/>
        </w:rPr>
        <w:t>El 1 de septiembre de 2026</w:t>
      </w:r>
    </w:p>
    <w:p w14:paraId="00F350DC" w14:textId="77777777" w:rsidR="000356F5" w:rsidRDefault="000356F5" w:rsidP="00B22284">
      <w:pPr>
        <w:rPr>
          <w:rStyle w:val="CCType"/>
        </w:rPr>
      </w:pPr>
    </w:p>
    <w:p w14:paraId="1171C8F6" w14:textId="34F7D051" w:rsidR="00182716" w:rsidRPr="00B37D8B" w:rsidRDefault="004F6CD1" w:rsidP="009A78D2">
      <w:pPr>
        <w:jc w:val="left"/>
        <w:rPr>
          <w:rStyle w:val="CCType"/>
        </w:rPr>
      </w:pPr>
      <w:r>
        <w:rPr>
          <w:rStyle w:val="CCType"/>
        </w:rPr>
        <w:t>Artículo de opinión</w:t>
      </w:r>
    </w:p>
    <w:p w14:paraId="3DBBAA6B" w14:textId="77777777" w:rsidR="004F6CD1" w:rsidRPr="004F6CD1" w:rsidRDefault="004F6CD1" w:rsidP="004F6CD1">
      <w:pPr>
        <w:jc w:val="left"/>
        <w:rPr>
          <w:rFonts w:ascii="Montserrat" w:hAnsi="Montserrat"/>
          <w:b/>
          <w:color w:val="767171" w:themeColor="background2" w:themeShade="80"/>
          <w:sz w:val="36"/>
        </w:rPr>
      </w:pPr>
      <w:r>
        <w:rPr>
          <w:rFonts w:ascii="Montserrat" w:hAnsi="Montserrat"/>
          <w:b/>
          <w:color w:val="767171" w:themeColor="background2" w:themeShade="80"/>
          <w:sz w:val="36"/>
        </w:rPr>
        <w:t>La presión aumenta para una Europa que vislumbra la encrucijada: ¿seguirá acaso la senda estratégica adecuada para la agricultura?</w:t>
      </w:r>
    </w:p>
    <w:p w14:paraId="78EF9C3B" w14:textId="40583DB4"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Ahora que la actividad política en Bruselas vuelve a reanudarse, sería un eufemismo pensar que la moral de la comunidad agropecuaria europea es alta en estos momentos. Tras otro verano plagado de fenómenos meteorológicos extremos, sequías e incendios forestales, se han agravado aún más las condiciones del mercado en muchos de los Estados miembros que ya de por sí eran difíciles. Los costes de los fertilizantes y la energía siguen siendo motivo de preocupación, con las finanzas de las explotaciones agrarias ya al límite, mientras que las guerras, las tensiones comerciales, la intensificación de la competencia mundial y los efectos de la crisis climática nublan las perspectivas tanto inmediatas como a largo plazo.</w:t>
      </w:r>
    </w:p>
    <w:p w14:paraId="1B497E65"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Es con este telón de fondo que van a configurarse en los próximos meses algunas de las decisiones más trascendentales en materia de política agrícola de la segunda Comisión de Von der Leyen. No obstante, a medida que los responsables europeos vuelven al ruedo, va quedando patente lo confuso que resulta el proceso político comunitario en materia de agricultura.</w:t>
      </w:r>
    </w:p>
    <w:p w14:paraId="6D829F03"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En una coyuntura en la cual los alimentos se instrumentalizan cada vez más como arma estratégica y en la que las potencias mundiales van reforzando los respectivos sectores agroganaderos en nombre de la autonomía, la resiliencia y la seguridad alimentaria propias, Europa avanza sin lugar a dudas en la dirección opuesta: no en el dicho, por supuesto, sino en el hecho. Todo esto resulta aún más incomprensible al observar lo que ocurre al otro lado de las fronteras de la Unión Europea.</w:t>
      </w:r>
    </w:p>
    <w:p w14:paraId="471B2A61"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En primer lugar, Estados Unidos ha aumentado de forma explícita el nivel de importancia de la agricultura que ha pasado a ser una cuestión de seguridad nacional para dicho país, con su Plan de Acción Nacional para la Seguridad Agrícola 2025, que gira en torno a un mensaje sencillo: la seguridad alimentaria es sinónimo de seguridad nacional. China, a su vez, lleva bastante tiempo ya aplicando políticas destinadas a mantener su «cuenco de arroz» firmemente en sus propias manos. Por su parte, Rusia, una amenaza cada vez más importante para la seguridad de la UE, también ha convertido en objetivo estratégico la autosuficiencia en materia de alimentos básicos. Independientemente de lo que pueda opinar uno de estos enfoques, el mensaje es inequívoco: en el nuevo contexto geopolítico </w:t>
      </w:r>
      <w:r>
        <w:rPr>
          <w:rFonts w:ascii="Montserrat" w:hAnsi="Montserrat"/>
          <w:color w:val="3B3838" w:themeColor="background2" w:themeShade="40"/>
          <w:sz w:val="20"/>
        </w:rPr>
        <w:lastRenderedPageBreak/>
        <w:t>en el que nos encontramos, la agricultura se considera cada vez más un activo y no un pasivo.</w:t>
      </w:r>
    </w:p>
    <w:p w14:paraId="7835A17A"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Está previsto para el período otoñal el desarrollo de dos procesos que determinarán en gran medida casi todas las demás decisiones en materia de política agrícola: las negociaciones sobre la futura Política Agrícola Común (PAC) y sobre el próximo Marco Financiero Plurianual (MFP) de la UE. Y lo mínimo que podemos decir al examinar con detenimiento las propuestas de la Comisión, en particular los importantes recortes propuestos al presupuesto de la PAC y la dilución de este en los Planes de Colaboración Nacionales y Regionales (PCNR), es que Europa corre el riesgo de acabar debilitando su patrimonio agroalimentario histórico.</w:t>
      </w:r>
    </w:p>
    <w:p w14:paraId="3C80C825"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Al despojar de recursos a la PAC, al privarla de la estructura estratégica de dos pilares que la caracteriza y al desestabilizar su carácter común, se hacen peligrar los objetivos mismos consagrados en los Tratados de la UE: garantizar una calidad de vida digna para los agricultores y ganaderos, aportar estabilidad a los mercados, afianzar el abastecimiento y asegurarse de que los consumidores tengan acceso a alimentos a precios módicos.</w:t>
      </w:r>
    </w:p>
    <w:p w14:paraId="338B12FA" w14:textId="238B3529"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La PAC, tal y como la concibe la Comisión de von der Leyen, pasa por alto igualmente el papel decisivo de la agricultura a la hora de asegurar la cohesión territorial, impulsar las economías rurales y propiciar el crecimiento. Los agricultores y ganaderos no solo somos productores de alimentos, sino que contribuimos a la seguridad y la resiliencia de Europa en todos los sentidos del término. Los recientes incendios, en los que hemos estado codo con codo con los bomberos, dedicando jornadas interminables y atacando las llamas incesantes con nuestro propio equipo, han supuesto otro claro recordatorio de lo anterior. Hacemos mucho más que meramente alimentar a Europa: somos los custodios cotidianos de nuestros entornos rurales.</w:t>
      </w:r>
    </w:p>
    <w:p w14:paraId="7963CAFF"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En este sentido, queremos traer a colación las acertadas palabras que el comisario Hansen dirigiera al Parlamento Europeo en julio de 2025 tras su visita a Finlandia: </w:t>
      </w:r>
      <w:r>
        <w:rPr>
          <w:rFonts w:ascii="Montserrat" w:hAnsi="Montserrat"/>
          <w:i/>
          <w:color w:val="3B3838" w:themeColor="background2" w:themeShade="40"/>
          <w:sz w:val="20"/>
        </w:rPr>
        <w:t>«Los agricultores contribuyen a la línea de defensa de la UE».</w:t>
      </w:r>
    </w:p>
    <w:p w14:paraId="046F9219"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La agricultura es también una fuente de poderío europeo. Somos la piedra angular de una cadena de valor agroalimentaria europea que genera más de un billón de euros en valor añadido bruto. Recordemos aquí que la Unión puede presumir de 9,1 millones de explotaciones agrícolas que brindan empleo a 8,7 millones de personas, al tiempo que más de 23 000 cooperativas agrícolas emplean a más de 607 000 personas y constituyen un pilar fundamental de la cadena de valor agroalimentaria. Por lo tanto, no se trata de un sector secundario que deba gestionarse al margen del programa político de competitividad y crecimiento de Europa: es una pieza fundamental del mismo.</w:t>
      </w:r>
    </w:p>
    <w:p w14:paraId="47448D7E"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Amén de las preocupaciones estratégicas ya citadas, las propuestas de la Comisión de julio de 2025 han dado lugar a una nueva estructura de gobernanza que puede acabar siendo harto problemática para la agricultura. A medida que los instrumentos de la PAC se integran cada vez más en los Planes de Colaboración Nacionales y Regionales (PCNR), las medidas que tradicionalmente se decidían a través del proceso de política agrícola pasan a formar parte de negociaciones más amplias sobre el Marco Financiero Plurianual (MFP), en las que los ministros de Asuntos Comunitarios y de Hacienda tendrán, inevitablemente, una mayor influencia. Sinceramente, nos cuesta imaginar un futuro en el que las decisiones sobre la Organización Común de los Mercados (OCM), incluidas las intervenciones </w:t>
      </w:r>
      <w:r>
        <w:rPr>
          <w:rFonts w:ascii="Montserrat" w:hAnsi="Montserrat"/>
          <w:color w:val="3B3838" w:themeColor="background2" w:themeShade="40"/>
          <w:sz w:val="20"/>
        </w:rPr>
        <w:lastRenderedPageBreak/>
        <w:t>sectoriales y los instrumentos agrícolas de carácter altamente técnico, se definan principalmente mediante negociaciones dirigidas por los ministros de Hacienda y de Asuntos Comunitarios.</w:t>
      </w:r>
    </w:p>
    <w:p w14:paraId="2BF4EE65"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¿Y qué ocurrirá en la fase de aplicación, cuando las decisiones nacionales sobre los instrumentos de la PAC se vean sometidas a la competencia entre ministerios y regiones por la financiación y la influencia? El riesgo es evidente. Bajo una intensa presión política y con los plazos que apremian, es posible que las decisiones vengan determinadas más por las realidades económicas y agronómicas de la agricultura europea que por concesiones políticas, cálculos nacionales y compromisos ajenos a las necesidades del sector. Nunca antes había estado la PAC tan cerca de perder la letra más importante de su acrónimo: la «C» de «Común».</w:t>
      </w:r>
    </w:p>
    <w:p w14:paraId="6E6A6770"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Queremos dejar las cosas muy en claro sobre este punto: supondrá una pérdida no solo para los agricultores y ganaderos y las cooperativas agrarias de Europa, sino también para el propio proyecto europeo y el porvenir del mismo. Tras la Comunidad Europea del Carbón y del Acero, ¿correrá la PAC finalmente la misma suerte y qué mensaje simbólico transmitirá así acerca de uno de los modelos más avanzados de acción común de la UE? Es evidente que, antes de intentar «comunitarizar» nuevos ámbitos de actuación europea, quizá Europa debe proteger y reforzar primero aquellas políticas en las que la acción conjunta ya ha demostrado su valor.</w:t>
      </w:r>
    </w:p>
    <w:p w14:paraId="030F3039"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Hay mucho en juego, ya que los líderes de la UE están acelerando las negociaciones sobre el MFP de cara al decisivo ciclo electoral de 2027, cuando se llamará a votar a alrededor del 60 % de los ciudadanos de la UE. En este contexto electoral, no podemos evitar preguntarnos: ¿qué mensaje políticamente perjudicial transmiten los líderes de la UE a los agricultores y ganaderos, a las comunidades rurales y, en última instancia, a los consumidores?</w:t>
      </w:r>
    </w:p>
    <w:p w14:paraId="78B9A9FC"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Los ciudadanos nos hacen saber lo que les resulta importante. En el último Eurobarómetro del Parlamento Europeo se muestra que la inflación, la subida de los precios y el coste de la vida constituyen la máxima prioridad para el 47 % de los europeos, seis puntos más que en otoño de 2025. Esto debería ser una llamada de atención. Los precios de los alimentos son una parte fundamental del debate sobre el coste de la vida. La alimentación asequible no se consigue debilitando la capacidad de Europa para producirla; se consigue garantizando que una agricultura europea competitiva, productiva y resiliente siga ocupando un lugar central entre las prioridades de Europa.</w:t>
      </w:r>
    </w:p>
    <w:p w14:paraId="05BB19FF"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No necesitamos que la Comisión proponga otro conjunto de soluciones a corto plazo, ni iniciativas puntuales, ni estrategias de comunicación. Lo que nos hace falta es una visión política congruente, que esté apuntalada en políticas estables y programas previsibles y que dé a los agricultores la confianza necesaria para invertir e innovar. De lo contrario, dudamos de que tengamos los argumentos necesarios para seguir convenciendo a personas jóvenes y motivadas de que se incorporen a nuestras filas y acortar la brecha generacional a la que nos enfrentaremos durante la década por venir.</w:t>
      </w:r>
    </w:p>
    <w:p w14:paraId="75E0EFF9" w14:textId="77777777" w:rsidR="004F6CD1" w:rsidRPr="004F6CD1" w:rsidRDefault="004F6CD1" w:rsidP="004F6CD1">
      <w:pPr>
        <w:rPr>
          <w:rFonts w:ascii="Montserrat" w:hAnsi="Montserrat"/>
          <w:color w:val="3B3838" w:themeColor="background2" w:themeShade="40"/>
          <w:sz w:val="20"/>
          <w:szCs w:val="20"/>
        </w:rPr>
      </w:pPr>
      <w:r>
        <w:rPr>
          <w:rFonts w:ascii="Montserrat" w:hAnsi="Montserrat"/>
          <w:color w:val="3B3838" w:themeColor="background2" w:themeShade="40"/>
          <w:sz w:val="20"/>
        </w:rPr>
        <w:t xml:space="preserve">En el futuro MFP se debe reconocer la producción alimentaria como un objetivo estratégico intrínsecamente vinculado a la defensa, la seguridad y la competitividad de Europa. El Fondo Europeo de Competitividad (FEC) también desempeñará un papel importante a la hora de promover la adopción de la innovación (es decir, el uso de datos e </w:t>
      </w:r>
      <w:r>
        <w:rPr>
          <w:rFonts w:ascii="Montserrat" w:hAnsi="Montserrat"/>
          <w:color w:val="3B3838" w:themeColor="background2" w:themeShade="40"/>
          <w:sz w:val="20"/>
        </w:rPr>
        <w:lastRenderedPageBreak/>
        <w:t>inteligencia artificial), apoyando el despliegue a gran escala y las infraestructuras necesarias para la transición continua y la resiliencia de la agricultura. No obstante, estos instrumentos deben servir de complemento, y no de sustituto, de una PAC sólida y una Organización Común de Mercados (OMC) que funcione correctamente.</w:t>
      </w:r>
    </w:p>
    <w:p w14:paraId="622EFC4F" w14:textId="51632755" w:rsidR="00B631E7" w:rsidRPr="004F6CD1" w:rsidRDefault="004F6CD1" w:rsidP="004F6CD1">
      <w:pPr>
        <w:rPr>
          <w:rStyle w:val="CCNormal"/>
          <w:sz w:val="20"/>
          <w:szCs w:val="20"/>
        </w:rPr>
      </w:pPr>
      <w:r>
        <w:rPr>
          <w:rFonts w:ascii="Montserrat" w:hAnsi="Montserrat"/>
          <w:color w:val="3B3838" w:themeColor="background2" w:themeShade="40"/>
          <w:sz w:val="20"/>
        </w:rPr>
        <w:t>En octubre, mientras los líderes europeos se reúnen en un Consejo Europeo decisivo, los agricultores europeos se darán cita en Estocolmo con motivo del Congreso de los Agricultores Europeos para hacer balance de la situación y marcar el rumbo de las acciones futuras. Afrontaremos esta «hora de la verdad» con determinación, porque sabemos lo que está en juego. No puede haber una Europa segura sin un sector agrícola y ganadero sólido. Y no puede haber una agricultura y ganadería europeas robustas sin políticas europeas que se adecuen a la finalidad de las mismas.</w:t>
      </w:r>
    </w:p>
    <w:p w14:paraId="35D789D8" w14:textId="77777777" w:rsidR="004F6CD1" w:rsidRPr="00282C7F" w:rsidRDefault="004F6CD1" w:rsidP="004F6CD1">
      <w:pPr>
        <w:jc w:val="right"/>
        <w:rPr>
          <w:rFonts w:ascii="Montserrat" w:hAnsi="Montserrat"/>
          <w:color w:val="7F7F7F" w:themeColor="text1" w:themeTint="80"/>
          <w:lang w:val="it-IT"/>
        </w:rPr>
      </w:pPr>
      <w:r w:rsidRPr="00282C7F">
        <w:rPr>
          <w:rFonts w:ascii="Montserrat" w:hAnsi="Montserrat"/>
          <w:b/>
          <w:color w:val="7F7F7F" w:themeColor="text1" w:themeTint="80"/>
          <w:lang w:val="it-IT"/>
        </w:rPr>
        <w:t>Massimiliano Giansanti, presidente del Copa</w:t>
      </w:r>
    </w:p>
    <w:p w14:paraId="372231A6" w14:textId="5EBDC319" w:rsidR="004F6CD1" w:rsidRPr="00282C7F" w:rsidRDefault="004F6CD1" w:rsidP="004F6CD1">
      <w:pPr>
        <w:jc w:val="right"/>
        <w:rPr>
          <w:rFonts w:ascii="Montserrat" w:hAnsi="Montserrat"/>
          <w:color w:val="7F7F7F" w:themeColor="text1" w:themeTint="80"/>
          <w:lang w:val="it-IT"/>
        </w:rPr>
      </w:pPr>
      <w:r w:rsidRPr="00282C7F">
        <w:rPr>
          <w:rFonts w:ascii="Montserrat" w:hAnsi="Montserrat"/>
          <w:b/>
          <w:color w:val="7F7F7F" w:themeColor="text1" w:themeTint="80"/>
          <w:lang w:val="it-IT"/>
        </w:rPr>
        <w:t>Lennart Nilsson, presidente de la Cogeca</w:t>
      </w:r>
    </w:p>
    <w:p w14:paraId="6C033F72" w14:textId="77777777" w:rsidR="00182716" w:rsidRPr="00135F43" w:rsidRDefault="00000000" w:rsidP="00244682">
      <w:sdt>
        <w:sdtPr>
          <w:rPr>
            <w:rFonts w:ascii="Montserrat" w:hAnsi="Montserrat"/>
            <w:b/>
            <w:bCs/>
            <w:color w:val="697331"/>
            <w:sz w:val="28"/>
            <w:szCs w:val="28"/>
          </w:rPr>
          <w:id w:val="636535682"/>
          <w:placeholder>
            <w:docPart w:val="36E22A7436754A1E806D6F53AEC1966B"/>
          </w:placeholder>
          <w:temporary/>
        </w:sdtPr>
        <w:sdtContent>
          <w:r w:rsidR="00D115F1">
            <w:rPr>
              <w:rFonts w:ascii="Montserrat" w:hAnsi="Montserrat"/>
              <w:b/>
              <w:color w:val="697331"/>
              <w:sz w:val="28"/>
            </w:rPr>
            <w:t>-FIN-</w:t>
          </w:r>
        </w:sdtContent>
      </w:sdt>
      <w:r w:rsidR="00D115F1">
        <w:rPr>
          <w:rFonts w:ascii="Montserrat" w:hAnsi="Montserrat"/>
          <w:b/>
          <w:color w:val="697331"/>
          <w:sz w:val="28"/>
        </w:rPr>
        <w:t xml:space="preserve"> </w:t>
      </w:r>
    </w:p>
    <w:p w14:paraId="53A5D7B9" w14:textId="77777777" w:rsidR="000356F5" w:rsidRPr="000356F5" w:rsidRDefault="000356F5" w:rsidP="00DF6217">
      <w:pPr>
        <w:pStyle w:val="CCDocBody"/>
        <w:rPr>
          <w:rFonts w:ascii="Montserrat" w:hAnsi="Montserrat"/>
          <w:color w:val="3A3838"/>
          <w:sz w:val="20"/>
          <w:szCs w:val="20"/>
        </w:rPr>
      </w:pPr>
      <w:r>
        <w:rPr>
          <w:rFonts w:ascii="Montserrat" w:hAnsi="Montserrat"/>
          <w:color w:val="3A3838"/>
          <w:sz w:val="20"/>
        </w:rPr>
        <w:t xml:space="preserve">El presente texto se pondrá a disposición próximamente en el sitio web del Copa-Cogeca en alemán, francés, inglés, italiano, polaco y rumano. </w:t>
      </w:r>
    </w:p>
    <w:p w14:paraId="1C51AFD9" w14:textId="2F0D20A5" w:rsidR="00E6727E" w:rsidRPr="00135F43" w:rsidRDefault="00E6727E" w:rsidP="00DF6217">
      <w:pPr>
        <w:pStyle w:val="CCDocBody"/>
        <w:rPr>
          <w:sz w:val="20"/>
          <w:szCs w:val="20"/>
        </w:rPr>
      </w:pPr>
      <w:r>
        <w:rPr>
          <w:rStyle w:val="CCNormal"/>
          <w:sz w:val="20"/>
        </w:rPr>
        <w:t xml:space="preserve">Acerca de los autores: el Copa y la Cogeca representamos la voz unida de los agricultores y de las cooperativas agrarias en la UE. Juntos, nos aseguramos de que la agricultura de la UE sea un sector sostenible, innovador y competitivo, garantizando al mismo tiempo la seguridad alimentaria de más de 500 millones de personas en Europa. &gt;&gt;&gt; Le invitamos a consultar nuestra página web: </w:t>
      </w:r>
      <w:hyperlink r:id="rId11" w:history="1">
        <w:r>
          <w:rPr>
            <w:rStyle w:val="Hyperlink"/>
            <w:rFonts w:ascii="Montserrat" w:hAnsi="Montserrat"/>
            <w:sz w:val="20"/>
          </w:rPr>
          <w:t>www.copa-cogeca.eu</w:t>
        </w:r>
      </w:hyperlink>
      <w:r>
        <w:t>.</w:t>
      </w:r>
    </w:p>
    <w:sdt>
      <w:sdtPr>
        <w:rPr>
          <w:rFonts w:ascii="Montserrat Light" w:eastAsiaTheme="minorHAnsi" w:hAnsi="Montserrat Light" w:cstheme="minorBidi"/>
          <w:color w:val="58595B"/>
          <w:sz w:val="22"/>
          <w:szCs w:val="22"/>
        </w:rPr>
        <w:id w:val="-926261863"/>
        <w:lock w:val="sdtContentLocked"/>
        <w:placeholder>
          <w:docPart w:val="36E22A7436754A1E806D6F53AEC1966B"/>
        </w:placeholder>
      </w:sdtPr>
      <w:sdtContent>
        <w:p w14:paraId="04D3D0EE"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rPr>
            <mc:AlternateContent>
              <mc:Choice Requires="wps">
                <w:drawing>
                  <wp:anchor distT="0" distB="0" distL="114300" distR="114300" simplePos="0" relativeHeight="251659264" behindDoc="0" locked="0" layoutInCell="1" allowOverlap="1" wp14:anchorId="59EB99A9" wp14:editId="3E72DE68">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28E308A2"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p w14:paraId="35C7C73E" w14:textId="78398F66" w:rsidR="00817677" w:rsidRPr="0061772C" w:rsidRDefault="00244682" w:rsidP="0061772C">
      <w:pPr>
        <w:pStyle w:val="NormalWeb"/>
        <w:shd w:val="clear" w:color="auto" w:fill="FFFFFF"/>
        <w:spacing w:before="0" w:beforeAutospacing="0"/>
        <w:rPr>
          <w:rFonts w:ascii="Montserrat" w:eastAsiaTheme="minorHAnsi" w:hAnsi="Montserrat"/>
          <w:sz w:val="20"/>
          <w:szCs w:val="20"/>
        </w:rPr>
      </w:pPr>
      <w:r>
        <w:rPr>
          <w:rStyle w:val="CCNormal"/>
          <w:sz w:val="20"/>
        </w:rPr>
        <w:t xml:space="preserve">Para más información, consulte el enlace siguiente: </w:t>
      </w:r>
      <w:r>
        <w:rPr>
          <w:rStyle w:val="CCNormal"/>
          <w:color w:val="6B7213"/>
          <w:sz w:val="20"/>
          <w:u w:val="single"/>
        </w:rPr>
        <w:t>cc.press-service@copa-cogeca.eu</w:t>
      </w:r>
    </w:p>
    <w:sectPr w:rsidR="00817677" w:rsidRPr="0061772C" w:rsidSect="00107120">
      <w:headerReference w:type="default" r:id="rId12"/>
      <w:footerReference w:type="default" r:id="rId13"/>
      <w:headerReference w:type="first" r:id="rId14"/>
      <w:footerReference w:type="first" r:id="rId15"/>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5305E" w14:textId="77777777" w:rsidR="008953BC" w:rsidRPr="00716D7C" w:rsidRDefault="008953BC" w:rsidP="00716D7C">
      <w:r>
        <w:separator/>
      </w:r>
    </w:p>
  </w:endnote>
  <w:endnote w:type="continuationSeparator" w:id="0">
    <w:p w14:paraId="33601719" w14:textId="77777777" w:rsidR="008953BC" w:rsidRPr="00716D7C" w:rsidRDefault="008953BC"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E725453-60F4-4DED-9F72-DF49C4F438ED}"/>
    <w:embedBold r:id="rId2" w:fontKey="{30CE67C6-C3BC-4892-804C-8D78D1078BE2}"/>
    <w:embedItalic r:id="rId3" w:fontKey="{954FCDA3-4124-41B3-BDA5-5193D98AA7F1}"/>
  </w:font>
  <w:font w:name="Montserrat Light">
    <w:charset w:val="00"/>
    <w:family w:val="auto"/>
    <w:pitch w:val="variable"/>
    <w:sig w:usb0="2000020F" w:usb1="00000003" w:usb2="00000000" w:usb3="00000000" w:csb0="00000197" w:csb1="00000000"/>
    <w:embedRegular r:id="rId4" w:fontKey="{9E0032D7-6650-4FD1-AE24-8AB41AAFC017}"/>
  </w:font>
  <w:font w:name="Calibri Light">
    <w:panose1 w:val="020F0302020204030204"/>
    <w:charset w:val="00"/>
    <w:family w:val="swiss"/>
    <w:pitch w:val="variable"/>
    <w:sig w:usb0="E4002EFF" w:usb1="C200247B" w:usb2="00000009" w:usb3="00000000" w:csb0="000001FF" w:csb1="00000000"/>
    <w:embedRegular r:id="rId5" w:fontKey="{81B006B2-6A26-44E7-BCEA-61604BD9A6B1}"/>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embedRegular r:id="rId6" w:fontKey="{B50BB363-3683-424D-BB51-D35B6D44360B}"/>
    <w:embedBold r:id="rId7" w:fontKey="{6D2A3DE9-5883-4549-9BC5-8DC67294EEFF}"/>
    <w:embedItalic r:id="rId8" w:fontKey="{D40C0253-1ABB-49FF-9D95-4E4819D1CA3D}"/>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F99E8" w14:textId="77777777" w:rsidR="00107120" w:rsidRPr="008403E3" w:rsidRDefault="00107120" w:rsidP="00107120">
    <w:pPr>
      <w:spacing w:after="0"/>
      <w:ind w:left="1134"/>
      <w:rPr>
        <w:rFonts w:ascii="Montserrat" w:hAnsi="Montserrat"/>
        <w:sz w:val="16"/>
        <w:szCs w:val="16"/>
      </w:rPr>
    </w:pPr>
    <w:r>
      <w:rPr>
        <w:rFonts w:ascii="Montserrat" w:hAnsi="Montserrat"/>
        <w:noProof/>
        <w:color w:val="000000" w:themeColor="text1"/>
        <w:sz w:val="16"/>
      </w:rPr>
      <w:drawing>
        <wp:anchor distT="0" distB="0" distL="114300" distR="114300" simplePos="0" relativeHeight="251661312" behindDoc="1" locked="0" layoutInCell="1" allowOverlap="1" wp14:anchorId="66A33C82" wp14:editId="1F553A8B">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Pr>
        <w:rFonts w:ascii="Montserrat" w:hAnsi="Montserrat"/>
        <w:sz w:val="16"/>
      </w:rPr>
      <w:t xml:space="preserve">Copa - Cogeca | Agricultores Europeos Cooperativas Agrarias Europeas </w:t>
    </w:r>
  </w:p>
  <w:p w14:paraId="51701B11" w14:textId="77777777" w:rsidR="00107120" w:rsidRPr="00282C7F" w:rsidRDefault="00107120" w:rsidP="00107120">
    <w:pPr>
      <w:spacing w:after="0"/>
      <w:ind w:left="1134"/>
      <w:rPr>
        <w:rFonts w:ascii="Montserrat" w:hAnsi="Montserrat"/>
        <w:sz w:val="16"/>
        <w:szCs w:val="16"/>
        <w:lang w:val="fr-BE"/>
      </w:rPr>
    </w:pPr>
    <w:r w:rsidRPr="00282C7F">
      <w:rPr>
        <w:rFonts w:ascii="Montserrat" w:hAnsi="Montserrat"/>
        <w:sz w:val="16"/>
        <w:lang w:val="fr-BE"/>
      </w:rPr>
      <w:t xml:space="preserve">Rue de Trèves 61 | B - 1040 Bruselas | www.copa-cogeca.eu  </w:t>
    </w:r>
  </w:p>
  <w:p w14:paraId="54CB4772" w14:textId="77777777" w:rsidR="00107120" w:rsidRPr="008403E3" w:rsidRDefault="00107120" w:rsidP="00107120">
    <w:pPr>
      <w:spacing w:after="0"/>
      <w:ind w:left="1134"/>
      <w:rPr>
        <w:rFonts w:ascii="Montserrat" w:hAnsi="Montserrat"/>
        <w:sz w:val="16"/>
        <w:szCs w:val="16"/>
      </w:rPr>
    </w:pPr>
    <w:r>
      <w:rPr>
        <w:rFonts w:ascii="Montserrat" w:hAnsi="Montserrat"/>
        <w:sz w:val="16"/>
      </w:rPr>
      <w:t>N° de registro de transparencia de la UE | Copa 44856881231-49 | Cogeca 09586631237-74</w:t>
    </w:r>
  </w:p>
  <w:p w14:paraId="1580CC50"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1BA3" w14:textId="77777777" w:rsidR="00107120" w:rsidRPr="008403E3" w:rsidRDefault="00107120" w:rsidP="00107120">
    <w:pPr>
      <w:spacing w:after="0"/>
      <w:ind w:left="1134"/>
      <w:rPr>
        <w:rFonts w:ascii="Montserrat" w:hAnsi="Montserrat"/>
        <w:sz w:val="16"/>
        <w:szCs w:val="16"/>
      </w:rPr>
    </w:pPr>
    <w:r>
      <w:rPr>
        <w:rFonts w:ascii="Montserrat" w:hAnsi="Montserrat"/>
        <w:noProof/>
        <w:color w:val="000000" w:themeColor="text1"/>
        <w:sz w:val="16"/>
      </w:rPr>
      <w:drawing>
        <wp:anchor distT="0" distB="0" distL="114300" distR="114300" simplePos="0" relativeHeight="251659264" behindDoc="1" locked="0" layoutInCell="1" allowOverlap="1" wp14:anchorId="6309ADDF" wp14:editId="05602E0A">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Pr>
        <w:rFonts w:ascii="Montserrat" w:hAnsi="Montserrat"/>
        <w:sz w:val="16"/>
      </w:rPr>
      <w:t xml:space="preserve">Copa - Cogeca | Agricultores Europeos Cooperativas Agrarias Europeas </w:t>
    </w:r>
  </w:p>
  <w:p w14:paraId="4B07EDD1" w14:textId="77777777" w:rsidR="00107120" w:rsidRPr="00282C7F" w:rsidRDefault="00107120" w:rsidP="00107120">
    <w:pPr>
      <w:spacing w:after="0"/>
      <w:ind w:left="1134"/>
      <w:rPr>
        <w:rFonts w:ascii="Montserrat" w:hAnsi="Montserrat"/>
        <w:sz w:val="16"/>
        <w:szCs w:val="16"/>
        <w:lang w:val="fr-BE"/>
      </w:rPr>
    </w:pPr>
    <w:r w:rsidRPr="00282C7F">
      <w:rPr>
        <w:rFonts w:ascii="Montserrat" w:hAnsi="Montserrat"/>
        <w:sz w:val="16"/>
        <w:lang w:val="fr-BE"/>
      </w:rPr>
      <w:t xml:space="preserve">Rue de Trèves 61 | B - 1040 Bruselas | www.copa-cogeca.eu  </w:t>
    </w:r>
  </w:p>
  <w:p w14:paraId="0A3B4E36" w14:textId="77777777" w:rsidR="00107120" w:rsidRPr="008403E3" w:rsidRDefault="00107120" w:rsidP="00107120">
    <w:pPr>
      <w:spacing w:after="0"/>
      <w:ind w:left="1134"/>
      <w:rPr>
        <w:rFonts w:ascii="Montserrat" w:hAnsi="Montserrat"/>
        <w:sz w:val="16"/>
        <w:szCs w:val="16"/>
      </w:rPr>
    </w:pPr>
    <w:r>
      <w:rPr>
        <w:rFonts w:ascii="Montserrat" w:hAnsi="Montserrat"/>
        <w:sz w:val="16"/>
      </w:rPr>
      <w:t>N° de registro de transparencia de la UE | Copa 44856881231-49 | Cogeca 09586631237-74</w:t>
    </w:r>
  </w:p>
  <w:p w14:paraId="20341495"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3AAC5" w14:textId="77777777" w:rsidR="008953BC" w:rsidRPr="00716D7C" w:rsidRDefault="008953BC" w:rsidP="00716D7C">
      <w:r>
        <w:separator/>
      </w:r>
    </w:p>
  </w:footnote>
  <w:footnote w:type="continuationSeparator" w:id="0">
    <w:p w14:paraId="32279A4F" w14:textId="77777777" w:rsidR="008953BC" w:rsidRPr="00716D7C" w:rsidRDefault="008953BC"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ECE1C"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Insert Logo"/>
      <w:tag w:val="Insert Logo"/>
      <w:id w:val="-1871138787"/>
      <w:picture/>
    </w:sdtPr>
    <w:sdtContent>
      <w:p w14:paraId="4D31768F" w14:textId="77777777" w:rsidR="00135F43" w:rsidRDefault="00135F43" w:rsidP="00135F43">
        <w:pPr>
          <w:jc w:val="left"/>
          <w:rPr>
            <w:noProof/>
          </w:rPr>
        </w:pPr>
        <w:r>
          <w:rPr>
            <w:noProof/>
          </w:rPr>
          <w:drawing>
            <wp:inline distT="0" distB="0" distL="0" distR="0" wp14:anchorId="23B3AEE1" wp14:editId="3F48B30C">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7D9E27BC"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CD1"/>
    <w:rsid w:val="00006AB9"/>
    <w:rsid w:val="000356F5"/>
    <w:rsid w:val="00071DB6"/>
    <w:rsid w:val="000B1D84"/>
    <w:rsid w:val="000D2B3B"/>
    <w:rsid w:val="000D34BA"/>
    <w:rsid w:val="000E5AED"/>
    <w:rsid w:val="00100850"/>
    <w:rsid w:val="00107120"/>
    <w:rsid w:val="00117877"/>
    <w:rsid w:val="00121DB3"/>
    <w:rsid w:val="0013357E"/>
    <w:rsid w:val="00135F43"/>
    <w:rsid w:val="00146C88"/>
    <w:rsid w:val="0015598F"/>
    <w:rsid w:val="001648FF"/>
    <w:rsid w:val="00165DC9"/>
    <w:rsid w:val="001673C5"/>
    <w:rsid w:val="00171312"/>
    <w:rsid w:val="00175F2B"/>
    <w:rsid w:val="001765DD"/>
    <w:rsid w:val="00182716"/>
    <w:rsid w:val="00187A93"/>
    <w:rsid w:val="001950AD"/>
    <w:rsid w:val="001A0D21"/>
    <w:rsid w:val="001E1ED9"/>
    <w:rsid w:val="001F1C55"/>
    <w:rsid w:val="00215D96"/>
    <w:rsid w:val="00226FEE"/>
    <w:rsid w:val="00235A0D"/>
    <w:rsid w:val="00242DB9"/>
    <w:rsid w:val="00244682"/>
    <w:rsid w:val="002562CB"/>
    <w:rsid w:val="002606E9"/>
    <w:rsid w:val="00272E26"/>
    <w:rsid w:val="00282C7F"/>
    <w:rsid w:val="002B0FFD"/>
    <w:rsid w:val="002D4EA5"/>
    <w:rsid w:val="002D57AF"/>
    <w:rsid w:val="002E02A5"/>
    <w:rsid w:val="003126C2"/>
    <w:rsid w:val="00327F42"/>
    <w:rsid w:val="003318A3"/>
    <w:rsid w:val="00341D97"/>
    <w:rsid w:val="003503C8"/>
    <w:rsid w:val="003557C1"/>
    <w:rsid w:val="003747AC"/>
    <w:rsid w:val="00380165"/>
    <w:rsid w:val="0039774E"/>
    <w:rsid w:val="003B1D9A"/>
    <w:rsid w:val="003B68CB"/>
    <w:rsid w:val="003C0EEB"/>
    <w:rsid w:val="003C4C18"/>
    <w:rsid w:val="003D1D89"/>
    <w:rsid w:val="003F44AB"/>
    <w:rsid w:val="00445C22"/>
    <w:rsid w:val="00467BDE"/>
    <w:rsid w:val="00486A5D"/>
    <w:rsid w:val="004C39C3"/>
    <w:rsid w:val="004D1FA4"/>
    <w:rsid w:val="004F6CD1"/>
    <w:rsid w:val="004F6EE0"/>
    <w:rsid w:val="005067BB"/>
    <w:rsid w:val="005202ED"/>
    <w:rsid w:val="00553C59"/>
    <w:rsid w:val="0056456D"/>
    <w:rsid w:val="00590988"/>
    <w:rsid w:val="00592F70"/>
    <w:rsid w:val="005E5961"/>
    <w:rsid w:val="00600ED3"/>
    <w:rsid w:val="00607BB2"/>
    <w:rsid w:val="00614B2D"/>
    <w:rsid w:val="0061772C"/>
    <w:rsid w:val="00631E6F"/>
    <w:rsid w:val="00641635"/>
    <w:rsid w:val="006662C9"/>
    <w:rsid w:val="00671B34"/>
    <w:rsid w:val="006772EB"/>
    <w:rsid w:val="00681DA3"/>
    <w:rsid w:val="006A4601"/>
    <w:rsid w:val="006A79AB"/>
    <w:rsid w:val="006B673C"/>
    <w:rsid w:val="006B74EB"/>
    <w:rsid w:val="006C0583"/>
    <w:rsid w:val="006C4A88"/>
    <w:rsid w:val="006D70A8"/>
    <w:rsid w:val="006E59B7"/>
    <w:rsid w:val="006F5CEF"/>
    <w:rsid w:val="00716D7C"/>
    <w:rsid w:val="007306AC"/>
    <w:rsid w:val="00734E47"/>
    <w:rsid w:val="00755664"/>
    <w:rsid w:val="007556F3"/>
    <w:rsid w:val="00756DEA"/>
    <w:rsid w:val="00767438"/>
    <w:rsid w:val="00777A2D"/>
    <w:rsid w:val="0078288C"/>
    <w:rsid w:val="007844E9"/>
    <w:rsid w:val="007915EA"/>
    <w:rsid w:val="007B5E6E"/>
    <w:rsid w:val="007B6D94"/>
    <w:rsid w:val="007B7735"/>
    <w:rsid w:val="007C5E9B"/>
    <w:rsid w:val="007F3E4D"/>
    <w:rsid w:val="00800A86"/>
    <w:rsid w:val="00805042"/>
    <w:rsid w:val="00817677"/>
    <w:rsid w:val="00850375"/>
    <w:rsid w:val="00851336"/>
    <w:rsid w:val="00860527"/>
    <w:rsid w:val="00864920"/>
    <w:rsid w:val="00867FA8"/>
    <w:rsid w:val="00871AD7"/>
    <w:rsid w:val="008816F4"/>
    <w:rsid w:val="008953BC"/>
    <w:rsid w:val="008A0BFA"/>
    <w:rsid w:val="008C0429"/>
    <w:rsid w:val="008C0994"/>
    <w:rsid w:val="008E7E54"/>
    <w:rsid w:val="008F3AB6"/>
    <w:rsid w:val="008F4138"/>
    <w:rsid w:val="009000CA"/>
    <w:rsid w:val="00901C69"/>
    <w:rsid w:val="00903528"/>
    <w:rsid w:val="0090748C"/>
    <w:rsid w:val="00922B6D"/>
    <w:rsid w:val="00925C9C"/>
    <w:rsid w:val="00941D98"/>
    <w:rsid w:val="00947501"/>
    <w:rsid w:val="00955DDE"/>
    <w:rsid w:val="009651F6"/>
    <w:rsid w:val="00990273"/>
    <w:rsid w:val="009A3999"/>
    <w:rsid w:val="009A78D2"/>
    <w:rsid w:val="009D163E"/>
    <w:rsid w:val="009D40C9"/>
    <w:rsid w:val="009F1163"/>
    <w:rsid w:val="00A1126D"/>
    <w:rsid w:val="00A20342"/>
    <w:rsid w:val="00A31B3C"/>
    <w:rsid w:val="00A63781"/>
    <w:rsid w:val="00A9463E"/>
    <w:rsid w:val="00AE5E6F"/>
    <w:rsid w:val="00AF6D18"/>
    <w:rsid w:val="00B013FC"/>
    <w:rsid w:val="00B01B09"/>
    <w:rsid w:val="00B22284"/>
    <w:rsid w:val="00B37D8B"/>
    <w:rsid w:val="00B572F1"/>
    <w:rsid w:val="00B631E7"/>
    <w:rsid w:val="00B650F0"/>
    <w:rsid w:val="00B70EDD"/>
    <w:rsid w:val="00B714A2"/>
    <w:rsid w:val="00B77564"/>
    <w:rsid w:val="00B828EF"/>
    <w:rsid w:val="00B953B8"/>
    <w:rsid w:val="00BA622B"/>
    <w:rsid w:val="00BC42AC"/>
    <w:rsid w:val="00BE0D6B"/>
    <w:rsid w:val="00BE22AC"/>
    <w:rsid w:val="00C00B16"/>
    <w:rsid w:val="00C20330"/>
    <w:rsid w:val="00C26FE0"/>
    <w:rsid w:val="00C435EA"/>
    <w:rsid w:val="00C51DE9"/>
    <w:rsid w:val="00C5271A"/>
    <w:rsid w:val="00C544BA"/>
    <w:rsid w:val="00CA4479"/>
    <w:rsid w:val="00CA4F69"/>
    <w:rsid w:val="00CC4394"/>
    <w:rsid w:val="00CC448F"/>
    <w:rsid w:val="00CE19D7"/>
    <w:rsid w:val="00CF4B85"/>
    <w:rsid w:val="00CF7B23"/>
    <w:rsid w:val="00D10189"/>
    <w:rsid w:val="00D115F1"/>
    <w:rsid w:val="00D1533B"/>
    <w:rsid w:val="00D15F84"/>
    <w:rsid w:val="00D239FF"/>
    <w:rsid w:val="00D407DE"/>
    <w:rsid w:val="00D539A1"/>
    <w:rsid w:val="00D66617"/>
    <w:rsid w:val="00D72C78"/>
    <w:rsid w:val="00D9547E"/>
    <w:rsid w:val="00DE77B5"/>
    <w:rsid w:val="00DF6217"/>
    <w:rsid w:val="00E05511"/>
    <w:rsid w:val="00E2211C"/>
    <w:rsid w:val="00E510B1"/>
    <w:rsid w:val="00E618D6"/>
    <w:rsid w:val="00E6727E"/>
    <w:rsid w:val="00E72924"/>
    <w:rsid w:val="00E9016C"/>
    <w:rsid w:val="00E92FBE"/>
    <w:rsid w:val="00E95D41"/>
    <w:rsid w:val="00EA132D"/>
    <w:rsid w:val="00F145A0"/>
    <w:rsid w:val="00F25A49"/>
    <w:rsid w:val="00F4320D"/>
    <w:rsid w:val="00F51866"/>
    <w:rsid w:val="00F52C33"/>
    <w:rsid w:val="00F53D64"/>
    <w:rsid w:val="00F63519"/>
    <w:rsid w:val="00F96720"/>
    <w:rsid w:val="00FC7250"/>
    <w:rsid w:val="00FE486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7DACB"/>
  <w15:chartTrackingRefBased/>
  <w15:docId w15:val="{1133CDAC-492E-468A-99C1-C47E1BB8A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_trad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lang w:val="es-ES"/>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E22A7436754A1E806D6F53AEC1966B"/>
        <w:category>
          <w:name w:val="General"/>
          <w:gallery w:val="placeholder"/>
        </w:category>
        <w:types>
          <w:type w:val="bbPlcHdr"/>
        </w:types>
        <w:behaviors>
          <w:behavior w:val="content"/>
        </w:behaviors>
        <w:guid w:val="{36A34884-E1CE-4825-9274-CB43BEAC5D71}"/>
      </w:docPartPr>
      <w:docPartBody>
        <w:p w:rsidR="00AA7FA1" w:rsidRDefault="00AA7FA1">
          <w:pPr>
            <w:pStyle w:val="36E22A7436754A1E806D6F53AEC1966B"/>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FA1"/>
    <w:rsid w:val="00631E6F"/>
    <w:rsid w:val="00AA7FA1"/>
    <w:rsid w:val="00C00B16"/>
    <w:rsid w:val="00C436A1"/>
    <w:rsid w:val="00CF0FF6"/>
    <w:rsid w:val="00D539A1"/>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_tradnl"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6E22A7436754A1E806D6F53AEC1966B">
    <w:name w:val="36E22A7436754A1E806D6F53AEC196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f91bdcaff27088b04d97f8bef19a965">
  <xsd:schema xmlns:xsd="http://www.w3.org/2001/XMLSchema" xmlns:xs="http://www.w3.org/2001/XMLSchema" xmlns:p="http://schemas.microsoft.com/office/2006/metadata/properties" xmlns:ns2="b073dc0b-c155-4f91-94b4-670be88b0342" targetNamespace="http://schemas.microsoft.com/office/2006/metadata/properties" ma:root="true" ma:fieldsID="cdbf1ba178e5364e16717c1186c56f59"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2.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3.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B0BD93-E772-4A0D-B8D0-920B12D6D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Press%20Publication%20Template%202026.dotx</Template>
  <TotalTime>1</TotalTime>
  <Pages>4</Pages>
  <Words>1745</Words>
  <Characters>9603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Maëlle Mabecque</dc:creator>
  <cp:keywords/>
  <dc:description/>
  <cp:lastModifiedBy>Rosina Butterworth</cp:lastModifiedBy>
  <cp:revision>3</cp:revision>
  <dcterms:created xsi:type="dcterms:W3CDTF">2026-09-09T15:35:00Z</dcterms:created>
  <dcterms:modified xsi:type="dcterms:W3CDTF">2026-09-09T15:36:00Z</dcterms:modified>
</cp:coreProperties>
</file>

<file path=docProps/custom.xml><?xml version="1.0" encoding="utf-8"?>
<op:Properties xmlns:vt="http://schemas.openxmlformats.org/officeDocument/2006/docPropsVTypes" xmlns:op="http://schemas.openxmlformats.org/officeDocument/2006/custom-properties"/>
</file>