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D1160" w14:textId="77777777" w:rsidR="00D72C78" w:rsidRDefault="00D72C78" w:rsidP="00990273">
      <w:pPr>
        <w:jc w:val="right"/>
      </w:pPr>
    </w:p>
    <w:p w14:paraId="737B5190" w14:textId="1C606AB6" w:rsidR="00767438" w:rsidRPr="00734E47" w:rsidRDefault="00767438" w:rsidP="000356F5">
      <w:pPr>
        <w:spacing w:after="0"/>
      </w:pPr>
      <w:r>
        <w:rPr>
          <w:rStyle w:val="CCNormal"/>
        </w:rPr>
        <w:t>Réf.</w:t>
      </w:r>
      <w:r>
        <w:t xml:space="preserve"> </w:t>
      </w:r>
      <w:r w:rsidR="00380165">
        <w:rPr>
          <w:rFonts w:ascii="Montserrat" w:hAnsi="Montserrat"/>
        </w:rPr>
        <w:fldChar w:fldCharType="begin"/>
      </w:r>
      <w:r w:rsidR="00F145A0" w:rsidRPr="00F145A0">
        <w:rPr>
          <w:rFonts w:ascii="Montserrat" w:hAnsi="Montserrat"/>
        </w:rPr>
        <w:instrText>DOCPROPERTY PWReference</w:instrText>
      </w:r>
      <w:r w:rsidR="00380165">
        <w:rPr>
          <w:rFonts w:ascii="Montserrat" w:hAnsi="Montserrat"/>
        </w:rPr>
        <w:fldChar w:fldCharType="separate"/>
      </w:r>
      <w:r w:rsidR="00F04025">
        <w:rPr>
          <w:rFonts w:ascii="Montserrat" w:hAnsi="Montserrat"/>
        </w:rPr>
        <w:t>COMM(26)02069[1]</w:t>
      </w:r>
      <w:r w:rsidR="00380165">
        <w:rPr>
          <w:rFonts w:ascii="Montserrat" w:hAnsi="Montserrat"/>
        </w:rPr>
        <w:fldChar w:fldCharType="end"/>
      </w:r>
      <w:r>
        <w:rPr>
          <w:rFonts w:ascii="Montserrat" w:hAnsi="Montserrat"/>
        </w:rPr>
        <w:tab/>
      </w:r>
      <w:r>
        <w:rPr>
          <w:rFonts w:ascii="Montserrat" w:hAnsi="Montserrat"/>
        </w:rPr>
        <w:tab/>
      </w:r>
      <w:r>
        <w:rPr>
          <w:rFonts w:ascii="Montserrat" w:hAnsi="Montserrat"/>
        </w:rPr>
        <w:tab/>
      </w:r>
      <w:r w:rsidR="00F04025">
        <w:rPr>
          <w:rFonts w:ascii="Montserrat" w:hAnsi="Montserrat"/>
        </w:rPr>
        <w:tab/>
      </w:r>
      <w:r w:rsidR="00F04025">
        <w:rPr>
          <w:rFonts w:ascii="Montserrat" w:hAnsi="Montserrat"/>
        </w:rPr>
        <w:tab/>
      </w:r>
      <w:r w:rsidR="00F04025">
        <w:rPr>
          <w:rFonts w:ascii="Montserrat" w:hAnsi="Montserrat"/>
        </w:rPr>
        <w:tab/>
      </w:r>
      <w:r w:rsidR="00F04025">
        <w:rPr>
          <w:rFonts w:ascii="Montserrat" w:hAnsi="Montserrat"/>
        </w:rPr>
        <w:tab/>
      </w:r>
      <w:r w:rsidR="00FD36AA">
        <w:rPr>
          <w:rStyle w:val="CCNormal"/>
        </w:rPr>
        <w:t>15/09/2026</w:t>
      </w:r>
    </w:p>
    <w:p w14:paraId="5CF4E9B0" w14:textId="77777777" w:rsidR="000356F5" w:rsidRDefault="000356F5" w:rsidP="00B22284">
      <w:pPr>
        <w:rPr>
          <w:rStyle w:val="CCType"/>
        </w:rPr>
      </w:pPr>
    </w:p>
    <w:p w14:paraId="3AB5DFD3" w14:textId="20E033A6" w:rsidR="00182716" w:rsidRPr="00B37D8B" w:rsidRDefault="00FD36AA" w:rsidP="009A78D2">
      <w:pPr>
        <w:jc w:val="left"/>
        <w:rPr>
          <w:rStyle w:val="CCType"/>
        </w:rPr>
      </w:pPr>
      <w:r>
        <w:rPr>
          <w:rStyle w:val="CCType"/>
        </w:rPr>
        <w:t>Communiqué de presse</w:t>
      </w:r>
    </w:p>
    <w:p w14:paraId="7E26395B" w14:textId="0DAEB497" w:rsidR="00FD36AA" w:rsidRDefault="00FD36AA" w:rsidP="00162546">
      <w:pPr>
        <w:rPr>
          <w:rStyle w:val="CCTitle"/>
        </w:rPr>
      </w:pPr>
      <w:r>
        <w:rPr>
          <w:rStyle w:val="CCTitle"/>
        </w:rPr>
        <w:t>Le Copa et la Cogeca font part de leur profonde déception à la suite du rejet par le Parlement européen du seul mécanisme de sauvegarde instauré dans la révision du MACF</w:t>
      </w:r>
    </w:p>
    <w:p w14:paraId="0B56ECCC" w14:textId="77777777" w:rsidR="00162546" w:rsidRDefault="00162546" w:rsidP="00162546">
      <w:pPr>
        <w:rPr>
          <w:rStyle w:val="CCSubtitle"/>
        </w:rPr>
      </w:pPr>
      <w:r>
        <w:rPr>
          <w:rStyle w:val="CCSubtitle"/>
        </w:rPr>
        <w:t>Aujourd’hui, lors de sa séance plénière, le Parlement européen a rejeté l’article 27 bis de la révision du mécanisme d’ajustement carbone aux frontières (MACF), bloquant de ce fait le seul levier permettant d'instaurer un dispositif d'urgence pour préserver les agriculteurs des pics de prix des engrais. À un moment où les prix des engrais restent élevés et où les tensions géopolitiques exercent une pression supplémentaire sur les marchés de l’énergie et des engrais, cette décision est tout simplement incompréhensible.</w:t>
      </w:r>
    </w:p>
    <w:p w14:paraId="1F021CF0" w14:textId="0D297AC1" w:rsidR="00162546" w:rsidRPr="00162546" w:rsidRDefault="00162546" w:rsidP="00162546">
      <w:pPr>
        <w:rPr>
          <w:rFonts w:ascii="Montserrat" w:hAnsi="Montserrat"/>
          <w:color w:val="3B3838" w:themeColor="background2" w:themeShade="40"/>
          <w:sz w:val="20"/>
          <w:szCs w:val="20"/>
        </w:rPr>
      </w:pPr>
      <w:r>
        <w:rPr>
          <w:rFonts w:ascii="Montserrat" w:hAnsi="Montserrat"/>
          <w:color w:val="3B3838" w:themeColor="background2" w:themeShade="40"/>
          <w:sz w:val="20"/>
        </w:rPr>
        <w:t>Les agriculteurs européens sont déjà confrontés à une situation économique très difficile, marquée par la hausse des coûts des intrants, les pertes liées aux intempéries et une incertitude croissante sur les marchés internationaux. Ils attendent des réponses de la part des institutions européennes, ainsi que des nouvelles positives à l'approche de la prochaine saison de production. Les prix des engrais en Europe restent bien supérieurs à leur moyenne historique, tandis que les tensions persistantes dans le détroit d’Hormuz continuent d’alimenter l’incertitude.</w:t>
      </w:r>
    </w:p>
    <w:p w14:paraId="2F1CD4B7" w14:textId="77777777" w:rsidR="00162546" w:rsidRPr="00162546" w:rsidRDefault="00162546" w:rsidP="00162546">
      <w:pPr>
        <w:rPr>
          <w:rFonts w:ascii="Montserrat" w:hAnsi="Montserrat"/>
          <w:color w:val="3B3838" w:themeColor="background2" w:themeShade="40"/>
          <w:sz w:val="20"/>
          <w:szCs w:val="20"/>
        </w:rPr>
      </w:pPr>
      <w:r>
        <w:rPr>
          <w:rFonts w:ascii="Montserrat" w:hAnsi="Montserrat"/>
          <w:color w:val="3B3838" w:themeColor="background2" w:themeShade="40"/>
          <w:sz w:val="20"/>
        </w:rPr>
        <w:t>Dans ces circonstances, la suppression de l’article 27 bis, initialement proposé par la Commission à titre de mesure corrective, laisse les agriculteurs pleinement exposés aux surcoûts générés par le MACF, même dans des circonstances exceptionnelles où les prix des engrais sont déjà en forte hausse par ailleurs. Cette décision est particulièrement alarmante puisque les engrais font partie des principaux postes de dépenses de l'agriculture européenne et constituent même le coût de production le plus important pour de nombreux exploitants de terres arables. Sans possibilité de suspension en cas de perturbations graves du marché, le MACF risque d’exacerber les crises au lieu d'en atténuer les impacts.</w:t>
      </w:r>
    </w:p>
    <w:p w14:paraId="00194CCC" w14:textId="77777777" w:rsidR="00162546" w:rsidRPr="00162546" w:rsidRDefault="00162546" w:rsidP="00162546">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Ce choix, qui soutient une approche dictée par l'industrie sans offrir de garantie concrète aux agriculteurs, risque de compromettre la capacité de production de l'Europe et de renforcer la vulnérabilité des agriculteurs sur un marché loin d'être transparent. À terme, les répercussions ne s’arrêteront pas aux portes des exploitations agricoles : l’augmentation </w:t>
      </w:r>
      <w:r>
        <w:rPr>
          <w:rFonts w:ascii="Montserrat" w:hAnsi="Montserrat"/>
          <w:color w:val="3B3838" w:themeColor="background2" w:themeShade="40"/>
          <w:sz w:val="20"/>
        </w:rPr>
        <w:lastRenderedPageBreak/>
        <w:t>des coûts de production aura un impact sur les prix des denrées alimentaires et, par conséquent, sur les consommateurs. Le coût de la vie constitue déjà une préoccupation majeure pour les citoyens européens, et pourtant le vote d’aujourd’hui ne tient manifestement pas compte de cette réalité.</w:t>
      </w:r>
    </w:p>
    <w:p w14:paraId="65A3D931" w14:textId="77777777" w:rsidR="00162546" w:rsidRPr="00162546" w:rsidRDefault="00162546" w:rsidP="00162546">
      <w:pPr>
        <w:rPr>
          <w:rFonts w:ascii="Montserrat" w:hAnsi="Montserrat"/>
          <w:color w:val="3B3838" w:themeColor="background2" w:themeShade="40"/>
          <w:sz w:val="20"/>
          <w:szCs w:val="20"/>
        </w:rPr>
      </w:pPr>
      <w:r>
        <w:rPr>
          <w:rFonts w:ascii="Montserrat" w:hAnsi="Montserrat"/>
          <w:color w:val="3B3838" w:themeColor="background2" w:themeShade="40"/>
          <w:sz w:val="20"/>
        </w:rPr>
        <w:t>Cette décision est d’autant plus décevante qu'une solution équilibrée existait. Il était tout à fait possible de concilier la poursuite des objectifs de décarbonation et de compétitivité de l'industrie européenne des engrais avec l’introduction d’une clause de sauvegarde de crise temporaire et ciblée pour les agriculteurs. Une telle approche aurait permis de renforcer la résilience de toute la chaîne agroalimentaire sans nuire aux objectifs à long terme du MACF.</w:t>
      </w:r>
    </w:p>
    <w:p w14:paraId="59D017A6" w14:textId="78E88D42" w:rsidR="00162546" w:rsidRPr="00162546" w:rsidRDefault="00162546" w:rsidP="00162546">
      <w:pPr>
        <w:rPr>
          <w:rFonts w:ascii="Montserrat" w:hAnsi="Montserrat"/>
          <w:color w:val="3B3838" w:themeColor="background2" w:themeShade="40"/>
          <w:sz w:val="20"/>
          <w:szCs w:val="20"/>
        </w:rPr>
      </w:pPr>
      <w:r>
        <w:rPr>
          <w:rFonts w:ascii="Montserrat" w:hAnsi="Montserrat"/>
          <w:color w:val="3B3838" w:themeColor="background2" w:themeShade="40"/>
          <w:sz w:val="20"/>
        </w:rPr>
        <w:t>La proposition visant à permettre à la Commission de réallouer les recettes du MACF pour soutenir les agriculteurs en période de crise n</w:t>
      </w:r>
      <w:r w:rsidR="00F04025">
        <w:rPr>
          <w:rFonts w:ascii="Montserrat" w:hAnsi="Montserrat"/>
          <w:color w:val="3B3838" w:themeColor="background2" w:themeShade="40"/>
          <w:sz w:val="20"/>
        </w:rPr>
        <w:t>’est</w:t>
      </w:r>
      <w:r>
        <w:rPr>
          <w:rFonts w:ascii="Montserrat" w:hAnsi="Montserrat"/>
          <w:color w:val="3B3838" w:themeColor="background2" w:themeShade="40"/>
          <w:sz w:val="20"/>
        </w:rPr>
        <w:t xml:space="preserve"> qu'un cache-misère. Il en va de même pour la proposition d’inclure les céréales destinées à l’exportation dans le fonds temporaire de décarbonation. Elle ne profitera qu’aux producteurs céréaliers exportant leur production, laissant la majeure partie du marché des céréales de l'UE sans soutien pour compenser les effets du MACF. Par ailleurs, ce fonds ne devrait exister que pendant deux ans alors que le MACF est un mécanisme permanent dont les coûts devraient augmenter progressivement jusqu’en 2034.</w:t>
      </w:r>
    </w:p>
    <w:p w14:paraId="6654058B" w14:textId="5BFEDE92" w:rsidR="00925C9C" w:rsidRPr="00235A0D" w:rsidRDefault="00162546" w:rsidP="00235A0D">
      <w:r>
        <w:rPr>
          <w:rFonts w:ascii="Montserrat" w:hAnsi="Montserrat"/>
          <w:color w:val="3B3838" w:themeColor="background2" w:themeShade="40"/>
          <w:sz w:val="20"/>
        </w:rPr>
        <w:t>Compte tenu de la position adoptée aujourd’hui par le Parlement et de celle du Conseil, qui n’apporte guère plus d’éléments, les agriculteurs ont peu de raisons d’espérer une solution concrète à l’issue des prochaines négociations en trilogue. Le Copa et la Cogeca invitent néanmoins les députés européens et les États membres à profiter des prochaines négociations, ainsi que de la révision du système d'échange de quotas d'émission (SEQE), pour résoudre ce problème structurel. Les coopératives agricoles et les agriculteurs européens ne peuvent plus être utilisés pour amortir les chocs découlant de certaines politiques européennes.</w:t>
      </w:r>
    </w:p>
    <w:p w14:paraId="406582DB" w14:textId="77777777" w:rsidR="00182716" w:rsidRPr="00135F43" w:rsidRDefault="0027727D" w:rsidP="00244682">
      <w:sdt>
        <w:sdtPr>
          <w:rPr>
            <w:rFonts w:ascii="Montserrat" w:hAnsi="Montserrat"/>
            <w:b/>
            <w:bCs/>
            <w:color w:val="697331"/>
            <w:sz w:val="28"/>
            <w:szCs w:val="28"/>
          </w:rPr>
          <w:id w:val="636535682"/>
          <w:placeholder>
            <w:docPart w:val="5C12D90012AD405E8A4412403C16A962"/>
          </w:placeholder>
          <w:temporary/>
        </w:sdtPr>
        <w:sdtEndPr/>
        <w:sdtContent>
          <w:r w:rsidR="003D033F">
            <w:rPr>
              <w:rFonts w:ascii="Montserrat" w:hAnsi="Montserrat"/>
              <w:b/>
              <w:color w:val="697331"/>
              <w:sz w:val="28"/>
            </w:rPr>
            <w:t>-FIN-</w:t>
          </w:r>
        </w:sdtContent>
      </w:sdt>
      <w:r w:rsidR="003D033F">
        <w:rPr>
          <w:rFonts w:ascii="Montserrat" w:hAnsi="Montserrat"/>
          <w:b/>
          <w:color w:val="697331"/>
          <w:sz w:val="28"/>
        </w:rPr>
        <w:t xml:space="preserve"> </w:t>
      </w:r>
    </w:p>
    <w:p w14:paraId="1159F1D7" w14:textId="77777777" w:rsidR="000356F5" w:rsidRPr="000356F5" w:rsidRDefault="000356F5" w:rsidP="00DF6217">
      <w:pPr>
        <w:pStyle w:val="CCDocBody"/>
        <w:rPr>
          <w:rFonts w:ascii="Montserrat" w:hAnsi="Montserrat"/>
          <w:color w:val="3A3838"/>
          <w:sz w:val="20"/>
          <w:szCs w:val="20"/>
        </w:rPr>
      </w:pPr>
      <w:r>
        <w:rPr>
          <w:rFonts w:ascii="Montserrat" w:hAnsi="Montserrat"/>
          <w:color w:val="3A3838"/>
          <w:sz w:val="20"/>
        </w:rPr>
        <w:t xml:space="preserve">La version originale anglaise du présent communiqué de presse et les traductions en allemand, espagnol, italien, polonais et roumain sont disponibles sur le site du Copa-Cogeca. </w:t>
      </w:r>
    </w:p>
    <w:p w14:paraId="429F7642" w14:textId="0E3F446F" w:rsidR="00E6727E" w:rsidRPr="00135F43" w:rsidRDefault="00E6727E" w:rsidP="00DF6217">
      <w:pPr>
        <w:pStyle w:val="CCDocBody"/>
        <w:rPr>
          <w:sz w:val="20"/>
          <w:szCs w:val="20"/>
        </w:rPr>
      </w:pPr>
      <w:r>
        <w:rPr>
          <w:rStyle w:val="CCNormal"/>
          <w:sz w:val="20"/>
        </w:rPr>
        <w:t xml:space="preserve">À propos - Le Copa et la Cogeca sont la voix unie des agriculteurs et de leurs coopératives dans l’Union européenne. Ensemble, nous œuvrons pour une agriculture européenne durable, innovante et compétitive, qui puisse garantir la sécurité alimentaire aux 500 millions de citoyens européens. &gt;&gt;&gt; Pour plus d’informations </w:t>
      </w:r>
      <w:hyperlink r:id="rId11" w:history="1">
        <w:r>
          <w:rPr>
            <w:rStyle w:val="Lienhypertexte"/>
            <w:rFonts w:ascii="Montserrat" w:hAnsi="Montserrat"/>
            <w:sz w:val="20"/>
          </w:rPr>
          <w:t>www.copa-cogeca.eu</w:t>
        </w:r>
      </w:hyperlink>
    </w:p>
    <w:sdt>
      <w:sdtPr>
        <w:rPr>
          <w:rFonts w:ascii="Montserrat Light" w:eastAsiaTheme="minorHAnsi" w:hAnsi="Montserrat Light" w:cstheme="minorBidi"/>
          <w:color w:val="58595B"/>
          <w:sz w:val="22"/>
          <w:szCs w:val="22"/>
        </w:rPr>
        <w:id w:val="-926261863"/>
        <w:lock w:val="sdtContentLocked"/>
        <w:placeholder>
          <w:docPart w:val="5C12D90012AD405E8A4412403C16A962"/>
        </w:placeholder>
      </w:sdtPr>
      <w:sdtEndPr/>
      <w:sdtContent>
        <w:p w14:paraId="7A88A1CE"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lang w:eastAsia="en-US"/>
            </w:rPr>
            <mc:AlternateContent>
              <mc:Choice Requires="wps">
                <w:drawing>
                  <wp:anchor distT="0" distB="0" distL="114300" distR="114300" simplePos="0" relativeHeight="251659264" behindDoc="0" locked="0" layoutInCell="1" allowOverlap="1" wp14:anchorId="59EB99A9" wp14:editId="3E72DE68">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5314488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sdt>
      <w:sdtPr>
        <w:rPr>
          <w:rStyle w:val="CCNormal"/>
          <w:rFonts w:eastAsiaTheme="minorHAnsi"/>
          <w:sz w:val="20"/>
          <w:szCs w:val="20"/>
        </w:rPr>
        <w:id w:val="2040863808"/>
        <w:placeholder>
          <w:docPart w:val="5C12D90012AD405E8A4412403C16A962"/>
        </w:placeholder>
        <w:temporary/>
      </w:sdtPr>
      <w:sdtEndPr>
        <w:rPr>
          <w:rStyle w:val="CCNormal"/>
        </w:rPr>
      </w:sdtEndPr>
      <w:sdtContent>
        <w:p w14:paraId="66B46840" w14:textId="77777777" w:rsidR="00445C22" w:rsidRPr="00135F43" w:rsidRDefault="00244682" w:rsidP="00445C22">
          <w:pPr>
            <w:pStyle w:val="NormalWeb"/>
            <w:shd w:val="clear" w:color="auto" w:fill="FFFFFF"/>
            <w:spacing w:before="0" w:beforeAutospacing="0"/>
            <w:rPr>
              <w:rFonts w:ascii="Montserrat" w:eastAsiaTheme="minorHAnsi" w:hAnsi="Montserrat"/>
              <w:sz w:val="20"/>
              <w:szCs w:val="20"/>
            </w:rPr>
          </w:pPr>
          <w:r>
            <w:rPr>
              <w:rStyle w:val="CCNormal"/>
              <w:sz w:val="20"/>
            </w:rPr>
            <w:t>Pour de plus amples informations, veuillez contacter :</w:t>
          </w:r>
        </w:p>
      </w:sdtContent>
    </w:sdt>
    <w:tbl>
      <w:tblPr>
        <w:tblW w:w="0" w:type="auto"/>
        <w:tblLook w:val="04A0" w:firstRow="1" w:lastRow="0" w:firstColumn="1" w:lastColumn="0" w:noHBand="0" w:noVBand="1"/>
      </w:tblPr>
      <w:tblGrid>
        <w:gridCol w:w="4253"/>
        <w:gridCol w:w="4763"/>
      </w:tblGrid>
      <w:tr w:rsidR="00E6727E" w:rsidRPr="00162546" w14:paraId="01E0C1AF" w14:textId="77777777" w:rsidTr="00716D7C">
        <w:tc>
          <w:tcPr>
            <w:tcW w:w="4253" w:type="dxa"/>
          </w:tcPr>
          <w:p w14:paraId="32104860" w14:textId="53345CB7" w:rsidR="00E6727E" w:rsidRPr="00135F43" w:rsidRDefault="00162546" w:rsidP="00B953B8">
            <w:pPr>
              <w:pStyle w:val="Sansinterligne"/>
              <w:rPr>
                <w:rFonts w:ascii="Montserrat" w:hAnsi="Montserrat"/>
                <w:sz w:val="20"/>
                <w:szCs w:val="20"/>
              </w:rPr>
            </w:pPr>
            <w:r>
              <w:rPr>
                <w:rFonts w:ascii="Montserrat" w:hAnsi="Montserrat"/>
                <w:sz w:val="20"/>
              </w:rPr>
              <w:t>Bruno Menne</w:t>
            </w:r>
          </w:p>
          <w:p w14:paraId="35B55EA5" w14:textId="157A2EDF" w:rsidR="00E6727E" w:rsidRPr="00135F43" w:rsidRDefault="00162546" w:rsidP="00B953B8">
            <w:pPr>
              <w:pStyle w:val="Sansinterligne"/>
              <w:rPr>
                <w:rStyle w:val="CCNoSpacing"/>
                <w:rFonts w:ascii="Montserrat" w:hAnsi="Montserrat"/>
                <w:sz w:val="20"/>
                <w:szCs w:val="20"/>
              </w:rPr>
            </w:pPr>
            <w:r>
              <w:rPr>
                <w:rStyle w:val="CCNoSpacing"/>
                <w:rFonts w:ascii="Montserrat" w:hAnsi="Montserrat"/>
                <w:sz w:val="20"/>
              </w:rPr>
              <w:t>Directeur de l’équipe chargée des produits de base</w:t>
            </w:r>
          </w:p>
          <w:p w14:paraId="09FCBCA2" w14:textId="1B260D5D" w:rsidR="00E6727E" w:rsidRPr="00135F43" w:rsidRDefault="00162546" w:rsidP="00B953B8">
            <w:pPr>
              <w:rPr>
                <w:rFonts w:ascii="Montserrat" w:hAnsi="Montserrat"/>
                <w:sz w:val="20"/>
                <w:szCs w:val="20"/>
              </w:rPr>
            </w:pPr>
            <w:r>
              <w:rPr>
                <w:rStyle w:val="Lienhypertexte"/>
                <w:rFonts w:ascii="Montserrat" w:hAnsi="Montserrat"/>
                <w:sz w:val="20"/>
              </w:rPr>
              <w:t>bruno.menne@copa-cogeca.eu</w:t>
            </w:r>
          </w:p>
        </w:tc>
        <w:tc>
          <w:tcPr>
            <w:tcW w:w="4763" w:type="dxa"/>
          </w:tcPr>
          <w:p w14:paraId="3FDD3A6A" w14:textId="029C7122" w:rsidR="00E6727E" w:rsidRPr="00135F43" w:rsidRDefault="00162546" w:rsidP="00B953B8">
            <w:pPr>
              <w:pStyle w:val="Sansinterligne"/>
              <w:rPr>
                <w:rFonts w:ascii="Montserrat" w:hAnsi="Montserrat"/>
                <w:sz w:val="20"/>
                <w:szCs w:val="20"/>
              </w:rPr>
            </w:pPr>
            <w:r>
              <w:rPr>
                <w:rFonts w:ascii="Montserrat" w:hAnsi="Montserrat"/>
                <w:sz w:val="20"/>
              </w:rPr>
              <w:t>Jean-Baptiste Boucher</w:t>
            </w:r>
          </w:p>
          <w:p w14:paraId="2516CAC1" w14:textId="533FEE0C" w:rsidR="00E6727E" w:rsidRPr="00135F43" w:rsidRDefault="00162546" w:rsidP="00B953B8">
            <w:pPr>
              <w:pStyle w:val="Sansinterligne"/>
              <w:rPr>
                <w:rFonts w:ascii="Montserrat" w:hAnsi="Montserrat"/>
                <w:sz w:val="20"/>
                <w:szCs w:val="20"/>
              </w:rPr>
            </w:pPr>
            <w:r>
              <w:rPr>
                <w:rFonts w:ascii="Montserrat" w:hAnsi="Montserrat"/>
                <w:sz w:val="20"/>
              </w:rPr>
              <w:t>Directeur de la communication</w:t>
            </w:r>
          </w:p>
          <w:p w14:paraId="71F2E7AC" w14:textId="6EED5F2E" w:rsidR="00162546" w:rsidRDefault="00162546" w:rsidP="00162546">
            <w:pPr>
              <w:pStyle w:val="Sansinterligne"/>
              <w:rPr>
                <w:rStyle w:val="Lienhypertexte"/>
                <w:rFonts w:ascii="Montserrat" w:hAnsi="Montserrat"/>
                <w:sz w:val="20"/>
                <w:szCs w:val="20"/>
              </w:rPr>
            </w:pPr>
            <w:hyperlink r:id="rId12" w:history="1">
              <w:r>
                <w:rPr>
                  <w:rStyle w:val="Lienhypertexte"/>
                  <w:rFonts w:ascii="Montserrat" w:hAnsi="Montserrat"/>
                  <w:sz w:val="20"/>
                </w:rPr>
                <w:t>jean-baptiste.boucher@copa-cogeca.eu</w:t>
              </w:r>
            </w:hyperlink>
          </w:p>
          <w:p w14:paraId="4395CEB2" w14:textId="31D27583" w:rsidR="00162546" w:rsidRPr="00135F43" w:rsidRDefault="00162546" w:rsidP="00162546">
            <w:pPr>
              <w:pStyle w:val="Sansinterligne"/>
              <w:rPr>
                <w:rFonts w:ascii="Montserrat" w:hAnsi="Montserrat"/>
                <w:sz w:val="20"/>
                <w:szCs w:val="20"/>
              </w:rPr>
            </w:pPr>
            <w:r>
              <w:rPr>
                <w:rFonts w:ascii="Montserrat" w:hAnsi="Montserrat"/>
                <w:sz w:val="20"/>
              </w:rPr>
              <w:t>+32 474 84 08 36</w:t>
            </w:r>
          </w:p>
          <w:p w14:paraId="4F476B00" w14:textId="65275AC7" w:rsidR="00E6727E" w:rsidRPr="00162546" w:rsidRDefault="00E6727E" w:rsidP="00B953B8">
            <w:pPr>
              <w:rPr>
                <w:rFonts w:ascii="Montserrat" w:hAnsi="Montserrat"/>
                <w:sz w:val="20"/>
                <w:szCs w:val="20"/>
                <w:lang/>
              </w:rPr>
            </w:pPr>
          </w:p>
        </w:tc>
      </w:tr>
    </w:tbl>
    <w:p w14:paraId="26731285" w14:textId="77777777" w:rsidR="00E6727E" w:rsidRPr="00162546" w:rsidRDefault="00E6727E" w:rsidP="00135F43">
      <w:pPr>
        <w:rPr>
          <w:lang/>
        </w:rPr>
      </w:pPr>
    </w:p>
    <w:p w14:paraId="279A37C9" w14:textId="77777777" w:rsidR="00817677" w:rsidRPr="00162546" w:rsidRDefault="00817677" w:rsidP="00135F43">
      <w:pPr>
        <w:rPr>
          <w:lang/>
        </w:rPr>
      </w:pPr>
    </w:p>
    <w:p w14:paraId="625ADEBA" w14:textId="77777777" w:rsidR="00817677" w:rsidRDefault="00817677" w:rsidP="00817677">
      <w:pPr>
        <w:jc w:val="center"/>
      </w:pPr>
      <w:r>
        <w:t>Liste de distribution pour les communiqués de presse</w:t>
      </w:r>
    </w:p>
    <w:p w14:paraId="531F7510" w14:textId="77777777" w:rsidR="00817677" w:rsidRPr="00817677" w:rsidRDefault="00817677" w:rsidP="00817677">
      <w:pPr>
        <w:jc w:val="center"/>
      </w:pPr>
      <w:r>
        <w:rPr>
          <w:noProof/>
        </w:rPr>
        <mc:AlternateContent>
          <mc:Choice Requires="wps">
            <w:drawing>
              <wp:anchor distT="0" distB="0" distL="114300" distR="114300" simplePos="0" relativeHeight="251662336" behindDoc="0" locked="0" layoutInCell="1" allowOverlap="1" wp14:anchorId="57CB18D7" wp14:editId="2584E0E0">
                <wp:simplePos x="0" y="0"/>
                <wp:positionH relativeFrom="column">
                  <wp:posOffset>3355675</wp:posOffset>
                </wp:positionH>
                <wp:positionV relativeFrom="paragraph">
                  <wp:posOffset>153395</wp:posOffset>
                </wp:positionV>
                <wp:extent cx="1112520" cy="361950"/>
                <wp:effectExtent l="0" t="0" r="11430" b="19050"/>
                <wp:wrapNone/>
                <wp:docPr id="655128924" name="Rectangle: Rounded Corners 1">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12520" cy="361950"/>
                        </a:xfrm>
                        <a:prstGeom prst="roundRect">
                          <a:avLst/>
                        </a:prstGeom>
                        <a:solidFill>
                          <a:srgbClr val="CA6D05"/>
                        </a:solidFill>
                      </wps:spPr>
                      <wps:style>
                        <a:lnRef idx="2">
                          <a:schemeClr val="accent6">
                            <a:shade val="50000"/>
                          </a:schemeClr>
                        </a:lnRef>
                        <a:fillRef idx="1">
                          <a:schemeClr val="accent6"/>
                        </a:fillRef>
                        <a:effectRef idx="0">
                          <a:schemeClr val="accent6"/>
                        </a:effectRef>
                        <a:fontRef idx="minor">
                          <a:schemeClr val="lt1"/>
                        </a:fontRef>
                      </wps:style>
                      <wps:txbx>
                        <w:txbxContent>
                          <w:p w14:paraId="1DA51511" w14:textId="77777777" w:rsidR="00817677" w:rsidRPr="00817677" w:rsidRDefault="00817677" w:rsidP="00817677">
                            <w:pPr>
                              <w:jc w:val="center"/>
                              <w:rPr>
                                <w:b/>
                                <w:bCs/>
                                <w:color w:val="FFFFFF" w:themeColor="background1"/>
                                <w:sz w:val="20"/>
                                <w:szCs w:val="20"/>
                              </w:rPr>
                            </w:pPr>
                            <w:r>
                              <w:rPr>
                                <w:b/>
                                <w:color w:val="FFFFFF" w:themeColor="background1"/>
                                <w:sz w:val="20"/>
                              </w:rPr>
                              <w:t>Se désinscrire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7CB18D7" id="Rectangle: Rounded Corners 1" o:spid="_x0000_s1026" href="https://copa-cogeca.us19.list-manage.com/unsubscribe?u=5371341183d4c12ce11c119f5&amp;id=6d3072a5f7&amp;e=%5bUNIQID%5d&amp;c=d1f96d5be5" style="position:absolute;left:0;text-align:left;margin-left:264.25pt;margin-top:12.1pt;width:87.6pt;height:2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" o:button="t" fillcolor="#ca6d05" strokecolor="#375623 [1609]" strokeweight="1pt">
                <v:fill o:detectmouseclick="t"/>
                <v:stroke joinstyle="miter"/>
                <v:textbox>
                  <w:txbxContent>
                    <w:p w14:paraId="1DA51511" w14:textId="77777777" w:rsidR="00817677" w:rsidRPr="00817677" w:rsidRDefault="00817677" w:rsidP="00817677">
                      <w:pPr>
                        <w:jc w:val="center"/>
                        <w:rPr>
                          <w:b/>
                          <w:bCs/>
                          <w:color w:val="FFFFFF" w:themeColor="background1"/>
                          <w:sz w:val="20"/>
                          <w:szCs w:val="20"/>
                        </w:rPr>
                      </w:pPr>
                      <w:r>
                        <w:rPr>
                          <w:b/>
                          <w:color w:val="FFFFFF" w:themeColor="background1"/>
                          <w:sz w:val="20"/>
                        </w:rPr>
                        <w:t>Se désinscrire</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14:anchorId="75B3B302" wp14:editId="09E7586E">
                <wp:simplePos x="0" y="0"/>
                <wp:positionH relativeFrom="column">
                  <wp:posOffset>1457864</wp:posOffset>
                </wp:positionH>
                <wp:positionV relativeFrom="paragraph">
                  <wp:posOffset>153395</wp:posOffset>
                </wp:positionV>
                <wp:extent cx="1112808" cy="362310"/>
                <wp:effectExtent l="0" t="0" r="11430" b="19050"/>
                <wp:wrapNone/>
                <wp:docPr id="1190403050" name="Rectangle: Rounded Corners 1">
                  <a:hlinkClick xmlns:a="http://schemas.openxmlformats.org/drawingml/2006/main" r:id="rId14"/>
                </wp:docPr>
                <wp:cNvGraphicFramePr/>
                <a:graphic xmlns:a="http://schemas.openxmlformats.org/drawingml/2006/main">
                  <a:graphicData uri="http://schemas.microsoft.com/office/word/2010/wordprocessingShape">
                    <wps:wsp>
                      <wps:cNvSpPr/>
                      <wps:spPr>
                        <a:xfrm>
                          <a:off x="0" y="0"/>
                          <a:ext cx="1112808" cy="362310"/>
                        </a:xfrm>
                        <a:prstGeom prst="roundRect">
                          <a:avLst/>
                        </a:prstGeom>
                        <a:solidFill>
                          <a:srgbClr val="6B7213"/>
                        </a:solidFill>
                      </wps:spPr>
                      <wps:style>
                        <a:lnRef idx="2">
                          <a:schemeClr val="accent6">
                            <a:shade val="50000"/>
                          </a:schemeClr>
                        </a:lnRef>
                        <a:fillRef idx="1">
                          <a:schemeClr val="accent6"/>
                        </a:fillRef>
                        <a:effectRef idx="0">
                          <a:schemeClr val="accent6"/>
                        </a:effectRef>
                        <a:fontRef idx="minor">
                          <a:schemeClr val="lt1"/>
                        </a:fontRef>
                      </wps:style>
                      <wps:txbx>
                        <w:txbxContent>
                          <w:p w14:paraId="090DAB78" w14:textId="77777777" w:rsidR="00817677" w:rsidRPr="00817677" w:rsidRDefault="00817677" w:rsidP="00817677">
                            <w:pPr>
                              <w:jc w:val="center"/>
                              <w:rPr>
                                <w:b/>
                                <w:bCs/>
                                <w:color w:val="FFFFFF" w:themeColor="background1"/>
                                <w:sz w:val="20"/>
                                <w:szCs w:val="20"/>
                              </w:rPr>
                            </w:pPr>
                            <w:r>
                              <w:rPr>
                                <w:b/>
                                <w:color w:val="FFFFFF" w:themeColor="background1"/>
                                <w:sz w:val="20"/>
                              </w:rPr>
                              <w:t>S’abonner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B3B302" id="_x0000_s1027" href="https://form.jotform.com/copacogeca/press-release-subscription" style="position:absolute;left:0;text-align:left;margin-left:114.8pt;margin-top:12.1pt;width:87.6pt;height:2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" o:button="t" fillcolor="#6b7213" strokecolor="#375623 [1609]" strokeweight="1pt">
                <v:fill o:detectmouseclick="t"/>
                <v:stroke joinstyle="miter"/>
                <v:textbox>
                  <w:txbxContent>
                    <w:p w14:paraId="090DAB78" w14:textId="77777777" w:rsidR="00817677" w:rsidRPr="00817677" w:rsidRDefault="00817677" w:rsidP="00817677">
                      <w:pPr>
                        <w:jc w:val="center"/>
                        <w:rPr>
                          <w:b/>
                          <w:bCs/>
                          <w:color w:val="FFFFFF" w:themeColor="background1"/>
                          <w:sz w:val="20"/>
                          <w:szCs w:val="20"/>
                        </w:rPr>
                      </w:pPr>
                      <w:r>
                        <w:rPr>
                          <w:b/>
                          <w:color w:val="FFFFFF" w:themeColor="background1"/>
                          <w:sz w:val="20"/>
                        </w:rPr>
                        <w:t>S’abonner</w:t>
                      </w:r>
                    </w:p>
                  </w:txbxContent>
                </v:textbox>
              </v:roundrect>
            </w:pict>
          </mc:Fallback>
        </mc:AlternateContent>
      </w:r>
    </w:p>
    <w:sectPr w:rsidR="00817677" w:rsidRPr="00817677" w:rsidSect="00107120">
      <w:headerReference w:type="default" r:id="rId15"/>
      <w:footerReference w:type="default" r:id="rId16"/>
      <w:headerReference w:type="first" r:id="rId17"/>
      <w:footerReference w:type="first" r:id="rId18"/>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18EF7" w14:textId="77777777" w:rsidR="0027727D" w:rsidRPr="00716D7C" w:rsidRDefault="0027727D" w:rsidP="00716D7C">
      <w:r>
        <w:separator/>
      </w:r>
    </w:p>
  </w:endnote>
  <w:endnote w:type="continuationSeparator" w:id="0">
    <w:p w14:paraId="07C75D9C" w14:textId="77777777" w:rsidR="0027727D" w:rsidRPr="00716D7C" w:rsidRDefault="0027727D"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A270A4B-666E-4D9A-8F92-3B42BE7F1C33}"/>
    <w:embedBold r:id="rId2" w:fontKey="{706D35D1-8B93-461E-8D7E-F22ADD29628C}"/>
  </w:font>
  <w:font w:name="Montserrat Light">
    <w:charset w:val="00"/>
    <w:family w:val="auto"/>
    <w:pitch w:val="variable"/>
    <w:sig w:usb0="2000020F" w:usb1="00000003" w:usb2="00000000" w:usb3="00000000" w:csb0="00000197" w:csb1="00000000"/>
    <w:embedRegular r:id="rId3" w:fontKey="{C5613206-B0FD-45FA-A85B-3979B519E989}"/>
    <w:embedBold r:id="rId4" w:fontKey="{5D6BF347-800A-4EF5-8A65-93A5BA7F7132}"/>
  </w:font>
  <w:font w:name="Calibri Light">
    <w:panose1 w:val="020F0302020204030204"/>
    <w:charset w:val="00"/>
    <w:family w:val="swiss"/>
    <w:pitch w:val="variable"/>
    <w:sig w:usb0="E4002EFF" w:usb1="C200247B" w:usb2="00000009" w:usb3="00000000" w:csb0="000001FF" w:csb1="00000000"/>
    <w:embedRegular r:id="rId5" w:fontKey="{EBF4DACD-F60F-4EE3-93D9-75311897FBA0}"/>
  </w:font>
  <w:font w:name="Yu Gothic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embedRegular r:id="rId6" w:fontKey="{C52611C3-4877-4918-8DBA-36F6D7A2A24B}"/>
    <w:embedBold r:id="rId7" w:fontKey="{55BC98FB-E109-48C5-83EA-A05AC502BCFC}"/>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F732" w14:textId="77777777" w:rsidR="00107120" w:rsidRPr="008403E3" w:rsidRDefault="00107120" w:rsidP="00107120">
    <w:pPr>
      <w:spacing w:after="0"/>
      <w:ind w:left="1134"/>
      <w:rPr>
        <w:rFonts w:ascii="Montserrat" w:hAnsi="Montserrat"/>
        <w:sz w:val="16"/>
        <w:szCs w:val="16"/>
      </w:rPr>
    </w:pPr>
    <w:r>
      <w:rPr>
        <w:rFonts w:ascii="Montserrat" w:hAnsi="Montserrat"/>
        <w:noProof/>
        <w:color w:val="000000" w:themeColor="text1"/>
        <w:sz w:val="16"/>
      </w:rPr>
      <w:drawing>
        <wp:anchor distT="0" distB="0" distL="114300" distR="114300" simplePos="0" relativeHeight="251661312" behindDoc="1" locked="0" layoutInCell="1" allowOverlap="1" wp14:anchorId="66A33C82" wp14:editId="1F553A8B">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Pr>
        <w:rFonts w:ascii="Montserrat" w:hAnsi="Montserrat"/>
        <w:sz w:val="16"/>
      </w:rPr>
      <w:t xml:space="preserve">Copa - Cogeca | Agriculteurs et coopératives agricoles d'Europe </w:t>
    </w:r>
  </w:p>
  <w:p w14:paraId="3E592EA7" w14:textId="6B6ECFD0" w:rsidR="00107120" w:rsidRPr="005067BB" w:rsidRDefault="00107120" w:rsidP="00107120">
    <w:pPr>
      <w:spacing w:after="0"/>
      <w:ind w:left="1134"/>
      <w:rPr>
        <w:rFonts w:ascii="Montserrat" w:hAnsi="Montserrat"/>
        <w:sz w:val="16"/>
        <w:szCs w:val="16"/>
      </w:rPr>
    </w:pPr>
    <w:r>
      <w:rPr>
        <w:rFonts w:ascii="Montserrat" w:hAnsi="Montserrat"/>
        <w:sz w:val="16"/>
      </w:rPr>
      <w:t>61, Rue de Trèves | B - 1040 Bruxelles | www.copa-cogeca.eu</w:t>
    </w:r>
    <w:r w:rsidR="00F04025">
      <w:rPr>
        <w:rFonts w:ascii="Montserrat" w:hAnsi="Montserrat"/>
        <w:sz w:val="16"/>
      </w:rPr>
      <w:t xml:space="preserve"> </w:t>
    </w:r>
  </w:p>
  <w:p w14:paraId="7E5F8F4F" w14:textId="77777777" w:rsidR="00107120" w:rsidRPr="008403E3" w:rsidRDefault="00107120" w:rsidP="00107120">
    <w:pPr>
      <w:spacing w:after="0"/>
      <w:ind w:left="1134"/>
      <w:rPr>
        <w:rFonts w:ascii="Montserrat" w:hAnsi="Montserrat"/>
        <w:sz w:val="16"/>
        <w:szCs w:val="16"/>
      </w:rPr>
    </w:pPr>
    <w:r>
      <w:rPr>
        <w:rFonts w:ascii="Montserrat" w:hAnsi="Montserrat"/>
        <w:sz w:val="16"/>
      </w:rPr>
      <w:t>Numéro au Registre européen de transparence | Copa 44856881231-49 | Cogeca 09586631237-74</w:t>
    </w:r>
  </w:p>
  <w:p w14:paraId="3309D751" w14:textId="77777777" w:rsidR="00107120" w:rsidRDefault="0010712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5FAD9" w14:textId="77777777" w:rsidR="00107120" w:rsidRPr="008403E3" w:rsidRDefault="00107120" w:rsidP="00107120">
    <w:pPr>
      <w:spacing w:after="0"/>
      <w:ind w:left="1134"/>
      <w:rPr>
        <w:rFonts w:ascii="Montserrat" w:hAnsi="Montserrat"/>
        <w:sz w:val="16"/>
        <w:szCs w:val="16"/>
      </w:rPr>
    </w:pPr>
    <w:r>
      <w:rPr>
        <w:rFonts w:ascii="Montserrat" w:hAnsi="Montserrat"/>
        <w:noProof/>
        <w:color w:val="000000" w:themeColor="text1"/>
        <w:sz w:val="16"/>
      </w:rPr>
      <w:drawing>
        <wp:anchor distT="0" distB="0" distL="114300" distR="114300" simplePos="0" relativeHeight="251659264" behindDoc="1" locked="0" layoutInCell="1" allowOverlap="1" wp14:anchorId="6309ADDF" wp14:editId="05602E0A">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Pr>
        <w:rFonts w:ascii="Montserrat" w:hAnsi="Montserrat"/>
        <w:sz w:val="16"/>
      </w:rPr>
      <w:t xml:space="preserve">Copa - Cogeca | Agriculteurs et coopératives agricoles d'Europe </w:t>
    </w:r>
  </w:p>
  <w:p w14:paraId="35255144" w14:textId="1F7A38D6" w:rsidR="00107120" w:rsidRPr="005067BB" w:rsidRDefault="00107120" w:rsidP="00107120">
    <w:pPr>
      <w:spacing w:after="0"/>
      <w:ind w:left="1134"/>
      <w:rPr>
        <w:rFonts w:ascii="Montserrat" w:hAnsi="Montserrat"/>
        <w:sz w:val="16"/>
        <w:szCs w:val="16"/>
      </w:rPr>
    </w:pPr>
    <w:r>
      <w:rPr>
        <w:rFonts w:ascii="Montserrat" w:hAnsi="Montserrat"/>
        <w:sz w:val="16"/>
      </w:rPr>
      <w:t>61, Rue de Trèves | B - 1040 Bruxelles | www.copa-cogeca.eu</w:t>
    </w:r>
    <w:r w:rsidR="00F04025">
      <w:rPr>
        <w:rFonts w:ascii="Montserrat" w:hAnsi="Montserrat"/>
        <w:sz w:val="16"/>
      </w:rPr>
      <w:t xml:space="preserve"> </w:t>
    </w:r>
  </w:p>
  <w:p w14:paraId="73AB6FE6" w14:textId="77777777" w:rsidR="00107120" w:rsidRPr="008403E3" w:rsidRDefault="00107120" w:rsidP="00107120">
    <w:pPr>
      <w:spacing w:after="0"/>
      <w:ind w:left="1134"/>
      <w:rPr>
        <w:rFonts w:ascii="Montserrat" w:hAnsi="Montserrat"/>
        <w:sz w:val="16"/>
        <w:szCs w:val="16"/>
      </w:rPr>
    </w:pPr>
    <w:r>
      <w:rPr>
        <w:rFonts w:ascii="Montserrat" w:hAnsi="Montserrat"/>
        <w:sz w:val="16"/>
      </w:rPr>
      <w:t>Numéro au Registre européen de transparence | Copa 44856881231-49 | Cogeca 09586631237-74</w:t>
    </w:r>
  </w:p>
  <w:p w14:paraId="12F0AE5D" w14:textId="77777777" w:rsidR="00135F43" w:rsidRDefault="00135F4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4AC29" w14:textId="77777777" w:rsidR="0027727D" w:rsidRPr="00716D7C" w:rsidRDefault="0027727D" w:rsidP="00716D7C">
      <w:r>
        <w:separator/>
      </w:r>
    </w:p>
  </w:footnote>
  <w:footnote w:type="continuationSeparator" w:id="0">
    <w:p w14:paraId="3136BBFC" w14:textId="77777777" w:rsidR="0027727D" w:rsidRPr="00716D7C" w:rsidRDefault="0027727D"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866C6"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alias w:val="Insert Logo"/>
      <w:tag w:val="Insert Logo"/>
      <w:id w:val="-1871138787"/>
      <w:picture/>
    </w:sdtPr>
    <w:sdtEndPr/>
    <w:sdtContent>
      <w:p w14:paraId="642E686A" w14:textId="77777777" w:rsidR="00135F43" w:rsidRDefault="00135F43" w:rsidP="00135F43">
        <w:pPr>
          <w:jc w:val="left"/>
          <w:rPr>
            <w:noProof/>
          </w:rPr>
        </w:pPr>
        <w:r>
          <w:rPr>
            <w:noProof/>
          </w:rPr>
          <w:drawing>
            <wp:inline distT="0" distB="0" distL="0" distR="0" wp14:anchorId="23B3AEE1" wp14:editId="3F48B30C">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63688D30" w14:textId="77777777" w:rsidR="00135F43" w:rsidRDefault="00135F4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6AA"/>
    <w:rsid w:val="00006AB9"/>
    <w:rsid w:val="000356F5"/>
    <w:rsid w:val="00071DB6"/>
    <w:rsid w:val="000B1D84"/>
    <w:rsid w:val="000D2B3B"/>
    <w:rsid w:val="000D34BA"/>
    <w:rsid w:val="000E5AED"/>
    <w:rsid w:val="00100850"/>
    <w:rsid w:val="00107120"/>
    <w:rsid w:val="00117877"/>
    <w:rsid w:val="00121DB3"/>
    <w:rsid w:val="0013357E"/>
    <w:rsid w:val="00135F43"/>
    <w:rsid w:val="00146C88"/>
    <w:rsid w:val="0015598F"/>
    <w:rsid w:val="00162546"/>
    <w:rsid w:val="001648FF"/>
    <w:rsid w:val="00165DC9"/>
    <w:rsid w:val="00171312"/>
    <w:rsid w:val="00175F2B"/>
    <w:rsid w:val="001765DD"/>
    <w:rsid w:val="00182716"/>
    <w:rsid w:val="00187A93"/>
    <w:rsid w:val="001950AD"/>
    <w:rsid w:val="001A0D21"/>
    <w:rsid w:val="001E1ED9"/>
    <w:rsid w:val="001F1C55"/>
    <w:rsid w:val="002112A9"/>
    <w:rsid w:val="00215D96"/>
    <w:rsid w:val="00226FEE"/>
    <w:rsid w:val="00235A0D"/>
    <w:rsid w:val="00242DB9"/>
    <w:rsid w:val="00244682"/>
    <w:rsid w:val="002562CB"/>
    <w:rsid w:val="002606E9"/>
    <w:rsid w:val="00272E26"/>
    <w:rsid w:val="0027727D"/>
    <w:rsid w:val="002B0FFD"/>
    <w:rsid w:val="002D4EA5"/>
    <w:rsid w:val="002D57AF"/>
    <w:rsid w:val="002E02A5"/>
    <w:rsid w:val="003126C2"/>
    <w:rsid w:val="00327F42"/>
    <w:rsid w:val="003318A3"/>
    <w:rsid w:val="00341D97"/>
    <w:rsid w:val="003503C8"/>
    <w:rsid w:val="003557C1"/>
    <w:rsid w:val="003747AC"/>
    <w:rsid w:val="00380165"/>
    <w:rsid w:val="0039774E"/>
    <w:rsid w:val="003B1D9A"/>
    <w:rsid w:val="003B68CB"/>
    <w:rsid w:val="003C0EEB"/>
    <w:rsid w:val="003C4C18"/>
    <w:rsid w:val="003D033F"/>
    <w:rsid w:val="003D1D89"/>
    <w:rsid w:val="003F44AB"/>
    <w:rsid w:val="00445C22"/>
    <w:rsid w:val="00467BDE"/>
    <w:rsid w:val="00486A5D"/>
    <w:rsid w:val="004C39C3"/>
    <w:rsid w:val="004D1FA4"/>
    <w:rsid w:val="004F6EE0"/>
    <w:rsid w:val="005067BB"/>
    <w:rsid w:val="005202ED"/>
    <w:rsid w:val="00553C59"/>
    <w:rsid w:val="0056456D"/>
    <w:rsid w:val="00590988"/>
    <w:rsid w:val="00592F70"/>
    <w:rsid w:val="005E5961"/>
    <w:rsid w:val="00600ED3"/>
    <w:rsid w:val="00607BB2"/>
    <w:rsid w:val="00614B2D"/>
    <w:rsid w:val="00641635"/>
    <w:rsid w:val="006662C9"/>
    <w:rsid w:val="00671B34"/>
    <w:rsid w:val="006772EB"/>
    <w:rsid w:val="00681DA3"/>
    <w:rsid w:val="006A4601"/>
    <w:rsid w:val="006B673C"/>
    <w:rsid w:val="006B74EB"/>
    <w:rsid w:val="006C0583"/>
    <w:rsid w:val="006C4A88"/>
    <w:rsid w:val="006D70A8"/>
    <w:rsid w:val="006E59B7"/>
    <w:rsid w:val="006F5CEF"/>
    <w:rsid w:val="00716D7C"/>
    <w:rsid w:val="007306AC"/>
    <w:rsid w:val="00734E47"/>
    <w:rsid w:val="00755664"/>
    <w:rsid w:val="007556F3"/>
    <w:rsid w:val="00756DEA"/>
    <w:rsid w:val="00767438"/>
    <w:rsid w:val="00777A2D"/>
    <w:rsid w:val="0078288C"/>
    <w:rsid w:val="007844E9"/>
    <w:rsid w:val="007915EA"/>
    <w:rsid w:val="007B5E6E"/>
    <w:rsid w:val="007B6D94"/>
    <w:rsid w:val="007B7735"/>
    <w:rsid w:val="007C5E9B"/>
    <w:rsid w:val="007F3E4D"/>
    <w:rsid w:val="00800A86"/>
    <w:rsid w:val="00805042"/>
    <w:rsid w:val="00817677"/>
    <w:rsid w:val="00850375"/>
    <w:rsid w:val="00851336"/>
    <w:rsid w:val="00860527"/>
    <w:rsid w:val="00864920"/>
    <w:rsid w:val="00867FA8"/>
    <w:rsid w:val="00871AD7"/>
    <w:rsid w:val="008816F4"/>
    <w:rsid w:val="008A0BFA"/>
    <w:rsid w:val="008C0429"/>
    <w:rsid w:val="008C0994"/>
    <w:rsid w:val="008E7E54"/>
    <w:rsid w:val="008F3AB6"/>
    <w:rsid w:val="008F4138"/>
    <w:rsid w:val="009000CA"/>
    <w:rsid w:val="00901C69"/>
    <w:rsid w:val="00903528"/>
    <w:rsid w:val="0090748C"/>
    <w:rsid w:val="00922B6D"/>
    <w:rsid w:val="00925C9C"/>
    <w:rsid w:val="00941D98"/>
    <w:rsid w:val="00947501"/>
    <w:rsid w:val="00955DDE"/>
    <w:rsid w:val="00990273"/>
    <w:rsid w:val="009A3999"/>
    <w:rsid w:val="009A78D2"/>
    <w:rsid w:val="009D163E"/>
    <w:rsid w:val="009D40C9"/>
    <w:rsid w:val="009F1163"/>
    <w:rsid w:val="00A1126D"/>
    <w:rsid w:val="00A20342"/>
    <w:rsid w:val="00A31B3C"/>
    <w:rsid w:val="00A63781"/>
    <w:rsid w:val="00A9463E"/>
    <w:rsid w:val="00AE5E6F"/>
    <w:rsid w:val="00AF6D18"/>
    <w:rsid w:val="00B013FC"/>
    <w:rsid w:val="00B01B09"/>
    <w:rsid w:val="00B22284"/>
    <w:rsid w:val="00B37D8B"/>
    <w:rsid w:val="00B572F1"/>
    <w:rsid w:val="00B631E7"/>
    <w:rsid w:val="00B650F0"/>
    <w:rsid w:val="00B70EDD"/>
    <w:rsid w:val="00B714A2"/>
    <w:rsid w:val="00B77564"/>
    <w:rsid w:val="00B828EF"/>
    <w:rsid w:val="00B953B8"/>
    <w:rsid w:val="00BA622B"/>
    <w:rsid w:val="00BC42AC"/>
    <w:rsid w:val="00BE0D6B"/>
    <w:rsid w:val="00BE22AC"/>
    <w:rsid w:val="00C20330"/>
    <w:rsid w:val="00C26FE0"/>
    <w:rsid w:val="00C435EA"/>
    <w:rsid w:val="00C51DE9"/>
    <w:rsid w:val="00C5271A"/>
    <w:rsid w:val="00C544BA"/>
    <w:rsid w:val="00CA4479"/>
    <w:rsid w:val="00CA4F69"/>
    <w:rsid w:val="00CC4394"/>
    <w:rsid w:val="00CE19D7"/>
    <w:rsid w:val="00CF4B85"/>
    <w:rsid w:val="00CF7B23"/>
    <w:rsid w:val="00D10189"/>
    <w:rsid w:val="00D1533B"/>
    <w:rsid w:val="00D15F84"/>
    <w:rsid w:val="00D239FF"/>
    <w:rsid w:val="00D407DE"/>
    <w:rsid w:val="00D66617"/>
    <w:rsid w:val="00D72C78"/>
    <w:rsid w:val="00D9547E"/>
    <w:rsid w:val="00DE77B5"/>
    <w:rsid w:val="00DF6217"/>
    <w:rsid w:val="00E05511"/>
    <w:rsid w:val="00E2211C"/>
    <w:rsid w:val="00E510B1"/>
    <w:rsid w:val="00E618D6"/>
    <w:rsid w:val="00E6727E"/>
    <w:rsid w:val="00E72924"/>
    <w:rsid w:val="00E9016C"/>
    <w:rsid w:val="00E92FBE"/>
    <w:rsid w:val="00E95D41"/>
    <w:rsid w:val="00EA132D"/>
    <w:rsid w:val="00EF7DEB"/>
    <w:rsid w:val="00F04025"/>
    <w:rsid w:val="00F145A0"/>
    <w:rsid w:val="00F25A49"/>
    <w:rsid w:val="00F4320D"/>
    <w:rsid w:val="00F51866"/>
    <w:rsid w:val="00F52C33"/>
    <w:rsid w:val="00F53D64"/>
    <w:rsid w:val="00F63519"/>
    <w:rsid w:val="00F96720"/>
    <w:rsid w:val="00FC7250"/>
    <w:rsid w:val="00FD36AA"/>
    <w:rsid w:val="00FE486D"/>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92404"/>
  <w15:chartTrackingRefBased/>
  <w15:docId w15:val="{9CD00FF3-5044-4A4F-A0AE-B200D1021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rPr>
  </w:style>
  <w:style w:type="paragraph" w:styleId="Titre1">
    <w:name w:val="heading 1"/>
    <w:basedOn w:val="Normal"/>
    <w:next w:val="Normal"/>
    <w:link w:val="Titre1C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link w:val="NormalWebC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lang/>
    </w:rPr>
  </w:style>
  <w:style w:type="character" w:styleId="Lienhypertexte">
    <w:name w:val="Hyperlink"/>
    <w:basedOn w:val="Policepardfaut"/>
    <w:uiPriority w:val="99"/>
    <w:unhideWhenUsed/>
    <w:qFormat/>
    <w:rsid w:val="00DF6217"/>
    <w:rPr>
      <w:color w:val="6B7213"/>
      <w:u w:val="single"/>
    </w:rPr>
  </w:style>
  <w:style w:type="character" w:styleId="Mentionnonrsolue">
    <w:name w:val="Unresolved Mention"/>
    <w:basedOn w:val="Policepardfaut"/>
    <w:uiPriority w:val="99"/>
    <w:semiHidden/>
    <w:unhideWhenUsed/>
    <w:locked/>
    <w:rsid w:val="00903528"/>
    <w:rPr>
      <w:color w:val="605E5C"/>
      <w:shd w:val="clear" w:color="auto" w:fill="E1DFDD"/>
    </w:rPr>
  </w:style>
  <w:style w:type="paragraph" w:styleId="En-tte">
    <w:name w:val="header"/>
    <w:basedOn w:val="Normal"/>
    <w:link w:val="En-tteCar"/>
    <w:uiPriority w:val="99"/>
    <w:unhideWhenUsed/>
    <w:locked/>
    <w:rsid w:val="00006AB9"/>
    <w:pPr>
      <w:tabs>
        <w:tab w:val="center" w:pos="4513"/>
        <w:tab w:val="right" w:pos="9026"/>
      </w:tabs>
      <w:spacing w:after="0" w:line="240" w:lineRule="auto"/>
    </w:pPr>
  </w:style>
  <w:style w:type="character" w:customStyle="1" w:styleId="En-tteCar">
    <w:name w:val="En-tête Car"/>
    <w:basedOn w:val="Policepardfaut"/>
    <w:link w:val="En-tte"/>
    <w:uiPriority w:val="99"/>
    <w:rsid w:val="00006AB9"/>
  </w:style>
  <w:style w:type="paragraph" w:styleId="Pieddepage">
    <w:name w:val="footer"/>
    <w:basedOn w:val="Normal"/>
    <w:link w:val="PieddepageCar"/>
    <w:uiPriority w:val="99"/>
    <w:unhideWhenUsed/>
    <w:locked/>
    <w:rsid w:val="00006AB9"/>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06AB9"/>
  </w:style>
  <w:style w:type="table" w:styleId="Grilledutableau">
    <w:name w:val="Table Grid"/>
    <w:basedOn w:val="Tableau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Titre1Car">
    <w:name w:val="Titre 1 Car"/>
    <w:basedOn w:val="Policepardfaut"/>
    <w:link w:val="Titre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lang w:eastAsia="en-US"/>
    </w:rPr>
  </w:style>
  <w:style w:type="character" w:customStyle="1" w:styleId="NormalWebCar">
    <w:name w:val="Normal (Web) Car"/>
    <w:basedOn w:val="Policepardfaut"/>
    <w:link w:val="NormalWeb"/>
    <w:uiPriority w:val="99"/>
    <w:rsid w:val="00467BDE"/>
    <w:rPr>
      <w:rFonts w:ascii="Times New Roman" w:eastAsia="Times New Roman" w:hAnsi="Times New Roman" w:cs="Times New Roman"/>
      <w:sz w:val="24"/>
      <w:szCs w:val="24"/>
      <w:lang/>
    </w:rPr>
  </w:style>
  <w:style w:type="character" w:customStyle="1" w:styleId="CCSubtitle">
    <w:name w:val="CC Subtitle"/>
    <w:basedOn w:val="Policepardfaut"/>
    <w:uiPriority w:val="1"/>
    <w:qFormat/>
    <w:rsid w:val="009D163E"/>
    <w:rPr>
      <w:rFonts w:ascii="Montserrat" w:hAnsi="Montserrat"/>
      <w:b/>
      <w:color w:val="7F7F7F" w:themeColor="text1" w:themeTint="80"/>
      <w:sz w:val="22"/>
    </w:rPr>
  </w:style>
  <w:style w:type="paragraph" w:styleId="Sansinterligne">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ar"/>
    <w:link w:val="CCDocBody"/>
    <w:rsid w:val="002E02A5"/>
    <w:rPr>
      <w:rFonts w:ascii="Montserrat Light" w:eastAsia="Times New Roman" w:hAnsi="Montserrat Light" w:cs="Times New Roman"/>
      <w:color w:val="595959" w:themeColor="text1" w:themeTint="A6"/>
      <w:sz w:val="24"/>
      <w:szCs w:val="24"/>
      <w:shd w:val="clear" w:color="auto" w:fill="FFFFFF"/>
      <w:lang/>
    </w:rPr>
  </w:style>
  <w:style w:type="character" w:customStyle="1" w:styleId="CCNoSpacing">
    <w:name w:val="CC No Spacing"/>
    <w:basedOn w:val="Policepardfau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pa-cogeca.us19.list-manage.com/unsubscribe?u=5371341183d4c12ce11c119f5&amp;id=6d3072a5f7&amp;e=%5bUNIQID%5d&amp;c=d1f96d5be5"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ean-baptiste.boucher@copa-cogeca.e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a-cogeca.e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jotform.com/copacogeca/press-release-subscriptio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12D90012AD405E8A4412403C16A962"/>
        <w:category>
          <w:name w:val="General"/>
          <w:gallery w:val="placeholder"/>
        </w:category>
        <w:types>
          <w:type w:val="bbPlcHdr"/>
        </w:types>
        <w:behaviors>
          <w:behavior w:val="content"/>
        </w:behaviors>
        <w:guid w:val="{0D024BC4-BD3F-4E9F-8EF4-7179AAB8091A}"/>
      </w:docPartPr>
      <w:docPartBody>
        <w:p w:rsidR="00246A10" w:rsidRDefault="00246A10">
          <w:pPr>
            <w:pStyle w:val="5C12D90012AD405E8A4412403C16A962"/>
          </w:pPr>
          <w:r w:rsidRPr="007E5A09">
            <w:rPr>
              <w:rStyle w:val="Textedelespacerserv"/>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A10"/>
    <w:rsid w:val="002112A9"/>
    <w:rsid w:val="00246A10"/>
    <w:rsid w:val="003D7F85"/>
    <w:rsid w:val="00EF7DE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5C12D90012AD405E8A4412403C16A962">
    <w:name w:val="5C12D90012AD405E8A4412403C16A9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4" ma:contentTypeDescription="Create a new document." ma:contentTypeScope="" ma:versionID="7f91bdcaff27088b04d97f8bef19a965">
  <xsd:schema xmlns:xsd="http://www.w3.org/2001/XMLSchema" xmlns:xs="http://www.w3.org/2001/XMLSchema" xmlns:p="http://schemas.microsoft.com/office/2006/metadata/properties" xmlns:ns2="b073dc0b-c155-4f91-94b4-670be88b0342" targetNamespace="http://schemas.microsoft.com/office/2006/metadata/properties" ma:root="true" ma:fieldsID="cdbf1ba178e5364e16717c1186c56f59"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D96C3E-159D-44E1-A9B1-BF52AB020E34}">
  <ds:schemaRefs>
    <ds:schemaRef ds:uri="http://schemas.microsoft.com/sharepoint/v3/contenttype/forms"/>
  </ds:schemaRefs>
</ds:datastoreItem>
</file>

<file path=customXml/itemProps2.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3.xml><?xml version="1.0" encoding="utf-8"?>
<ds:datastoreItem xmlns:ds="http://schemas.openxmlformats.org/officeDocument/2006/customXml" ds:itemID="{C2B0BD93-E772-4A0D-B8D0-920B12D6D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Press%20Publication%20Template%202026.dotx</Template>
  <TotalTime>27</TotalTime>
  <Pages>3</Pages>
  <Words>831</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Maëlle Mabecque</dc:creator>
  <cp:keywords/>
  <dc:description/>
  <cp:lastModifiedBy>Laurie Boland</cp:lastModifiedBy>
  <cp:revision>2</cp:revision>
  <dcterms:created xsi:type="dcterms:W3CDTF">2026-09-15T12:00:00Z</dcterms:created>
  <dcterms:modified xsi:type="dcterms:W3CDTF">2026-09-17T13:53:00Z</dcterms:modified>
</cp:coreProperties>
</file>

<file path=docProps/custom.xml><?xml version="1.0" encoding="utf-8"?>
<op:Properties xmlns:vt="http://schemas.openxmlformats.org/officeDocument/2006/docPropsVTypes" xmlns:op="http://schemas.openxmlformats.org/officeDocument/2006/custom-properties"/>
</file>